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ook w:val="01E0" w:firstRow="1" w:lastRow="1" w:firstColumn="1" w:lastColumn="1" w:noHBand="0" w:noVBand="0"/>
      </w:tblPr>
      <w:tblGrid>
        <w:gridCol w:w="3545"/>
        <w:gridCol w:w="5811"/>
      </w:tblGrid>
      <w:tr w:rsidR="008B6134" w:rsidRPr="002B1FEC" w14:paraId="35C1251B" w14:textId="77777777" w:rsidTr="00B2323A">
        <w:tc>
          <w:tcPr>
            <w:tcW w:w="3545" w:type="dxa"/>
          </w:tcPr>
          <w:p w14:paraId="7EE080E5" w14:textId="77777777" w:rsidR="00247378" w:rsidRPr="002B1FEC" w:rsidRDefault="00247378" w:rsidP="00247378">
            <w:pPr>
              <w:spacing w:after="0" w:line="240" w:lineRule="auto"/>
              <w:jc w:val="center"/>
              <w:rPr>
                <w:rFonts w:ascii="Times New Roman" w:hAnsi="Times New Roman" w:cs="Times New Roman"/>
                <w:b/>
                <w:bCs/>
                <w:sz w:val="28"/>
                <w:szCs w:val="28"/>
              </w:rPr>
            </w:pPr>
            <w:bookmarkStart w:id="0" w:name="_GoBack"/>
            <w:bookmarkEnd w:id="0"/>
            <w:r w:rsidRPr="002B1FEC">
              <w:rPr>
                <w:rFonts w:ascii="Times New Roman" w:hAnsi="Times New Roman" w:cs="Times New Roman"/>
                <w:b/>
                <w:bCs/>
                <w:sz w:val="28"/>
                <w:szCs w:val="28"/>
              </w:rPr>
              <w:t>UỶ BAN NHÂN DÂN</w:t>
            </w:r>
          </w:p>
          <w:p w14:paraId="41D6C147" w14:textId="1B549E13" w:rsidR="007018B2" w:rsidRPr="002B1FEC" w:rsidRDefault="007018B2" w:rsidP="00247378">
            <w:pPr>
              <w:spacing w:after="0" w:line="240" w:lineRule="auto"/>
              <w:jc w:val="center"/>
              <w:rPr>
                <w:rFonts w:ascii="Times New Roman" w:hAnsi="Times New Roman" w:cs="Times New Roman"/>
                <w:b/>
                <w:bCs/>
                <w:sz w:val="28"/>
                <w:szCs w:val="28"/>
              </w:rPr>
            </w:pPr>
            <w:r w:rsidRPr="002B1FEC">
              <w:rPr>
                <w:rFonts w:ascii="Times New Roman" w:hAnsi="Times New Roman" w:cs="Times New Roman"/>
                <w:b/>
                <w:bCs/>
                <w:sz w:val="28"/>
                <w:szCs w:val="28"/>
              </w:rPr>
              <w:t>THÀNH PHỐ HÀ NỘI</w:t>
            </w:r>
          </w:p>
          <w:p w14:paraId="2D4A5F88" w14:textId="77777777" w:rsidR="007018B2" w:rsidRPr="002B1FEC" w:rsidRDefault="007018B2" w:rsidP="00247378">
            <w:pPr>
              <w:spacing w:after="0" w:line="240" w:lineRule="auto"/>
              <w:jc w:val="center"/>
              <w:rPr>
                <w:rFonts w:ascii="Times New Roman" w:hAnsi="Times New Roman" w:cs="Times New Roman"/>
                <w:bCs/>
                <w:sz w:val="28"/>
                <w:szCs w:val="28"/>
              </w:rPr>
            </w:pPr>
            <w:r w:rsidRPr="002B1FEC">
              <w:rPr>
                <w:rFonts w:ascii="Times New Roman" w:hAnsi="Times New Roman" w:cs="Times New Roman"/>
                <w:bCs/>
                <w:sz w:val="28"/>
                <w:szCs w:val="28"/>
              </w:rPr>
              <w:t>–––––––</w:t>
            </w:r>
          </w:p>
          <w:p w14:paraId="193FB8C7" w14:textId="04DC2551" w:rsidR="007018B2" w:rsidRPr="002B1FEC" w:rsidRDefault="007018B2" w:rsidP="00247378">
            <w:pPr>
              <w:spacing w:after="0" w:line="240" w:lineRule="auto"/>
              <w:jc w:val="center"/>
              <w:rPr>
                <w:rFonts w:ascii="Times New Roman" w:hAnsi="Times New Roman" w:cs="Times New Roman"/>
                <w:sz w:val="28"/>
                <w:szCs w:val="28"/>
              </w:rPr>
            </w:pPr>
            <w:r w:rsidRPr="002B1FEC">
              <w:rPr>
                <w:rFonts w:ascii="Times New Roman" w:hAnsi="Times New Roman" w:cs="Times New Roman"/>
                <w:sz w:val="28"/>
                <w:szCs w:val="28"/>
              </w:rPr>
              <w:t>Số:           /</w:t>
            </w:r>
            <w:r w:rsidR="009B3BCD">
              <w:rPr>
                <w:rFonts w:ascii="Times New Roman" w:hAnsi="Times New Roman" w:cs="Times New Roman"/>
                <w:sz w:val="28"/>
                <w:szCs w:val="28"/>
              </w:rPr>
              <w:t>BC</w:t>
            </w:r>
            <w:r w:rsidRPr="002B1FEC">
              <w:rPr>
                <w:rFonts w:ascii="Times New Roman" w:hAnsi="Times New Roman" w:cs="Times New Roman"/>
                <w:sz w:val="28"/>
                <w:szCs w:val="28"/>
              </w:rPr>
              <w:t>-</w:t>
            </w:r>
            <w:r w:rsidR="00247378" w:rsidRPr="002B1FEC">
              <w:rPr>
                <w:rFonts w:ascii="Times New Roman" w:hAnsi="Times New Roman" w:cs="Times New Roman"/>
                <w:sz w:val="28"/>
                <w:szCs w:val="28"/>
              </w:rPr>
              <w:t>UBND</w:t>
            </w:r>
          </w:p>
        </w:tc>
        <w:tc>
          <w:tcPr>
            <w:tcW w:w="5811" w:type="dxa"/>
          </w:tcPr>
          <w:p w14:paraId="3CA07200" w14:textId="77777777" w:rsidR="007018B2" w:rsidRPr="002B1FEC" w:rsidRDefault="007018B2" w:rsidP="007018B2">
            <w:pPr>
              <w:spacing w:after="0" w:line="240" w:lineRule="auto"/>
              <w:jc w:val="center"/>
              <w:rPr>
                <w:rFonts w:ascii="Times New Roman" w:hAnsi="Times New Roman" w:cs="Times New Roman"/>
                <w:b/>
                <w:sz w:val="26"/>
                <w:szCs w:val="26"/>
              </w:rPr>
            </w:pPr>
            <w:r w:rsidRPr="002B1FEC">
              <w:rPr>
                <w:rFonts w:ascii="Times New Roman" w:hAnsi="Times New Roman" w:cs="Times New Roman"/>
                <w:b/>
                <w:sz w:val="26"/>
                <w:szCs w:val="26"/>
              </w:rPr>
              <w:t>CỘNG HOÀ XÃ HỘI CHỦ NGHĨA VIỆT NAM</w:t>
            </w:r>
          </w:p>
          <w:p w14:paraId="72423D51" w14:textId="77777777" w:rsidR="007018B2" w:rsidRPr="002B1FEC" w:rsidRDefault="007018B2" w:rsidP="007018B2">
            <w:pPr>
              <w:spacing w:after="0" w:line="240" w:lineRule="auto"/>
              <w:jc w:val="center"/>
              <w:rPr>
                <w:rFonts w:ascii="Times New Roman" w:hAnsi="Times New Roman" w:cs="Times New Roman"/>
                <w:b/>
                <w:sz w:val="28"/>
                <w:szCs w:val="28"/>
              </w:rPr>
            </w:pPr>
            <w:r w:rsidRPr="002B1FEC">
              <w:rPr>
                <w:rFonts w:ascii="Times New Roman" w:hAnsi="Times New Roman" w:cs="Times New Roman"/>
                <w:b/>
                <w:sz w:val="28"/>
                <w:szCs w:val="28"/>
              </w:rPr>
              <w:t>Độc lập - Tự do - Hạnh phúc</w:t>
            </w:r>
          </w:p>
          <w:p w14:paraId="72374C07" w14:textId="77777777" w:rsidR="007018B2" w:rsidRPr="002B1FEC" w:rsidRDefault="007018B2" w:rsidP="007018B2">
            <w:pPr>
              <w:spacing w:after="0" w:line="240" w:lineRule="auto"/>
              <w:jc w:val="center"/>
              <w:rPr>
                <w:rFonts w:ascii="Times New Roman" w:hAnsi="Times New Roman" w:cs="Times New Roman"/>
                <w:bCs/>
                <w:sz w:val="28"/>
                <w:szCs w:val="28"/>
              </w:rPr>
            </w:pPr>
            <w:r w:rsidRPr="002B1FEC">
              <w:rPr>
                <w:rFonts w:ascii="Times New Roman" w:hAnsi="Times New Roman" w:cs="Times New Roman"/>
                <w:bCs/>
                <w:sz w:val="28"/>
                <w:szCs w:val="28"/>
              </w:rPr>
              <w:t>–––––––––––––––––––––––––</w:t>
            </w:r>
          </w:p>
          <w:p w14:paraId="4E6C8F45" w14:textId="610AAF82" w:rsidR="007018B2" w:rsidRPr="002B1FEC" w:rsidRDefault="007018B2" w:rsidP="002B1FEC">
            <w:pPr>
              <w:spacing w:after="0" w:line="240" w:lineRule="auto"/>
              <w:jc w:val="center"/>
              <w:rPr>
                <w:rFonts w:ascii="Times New Roman" w:hAnsi="Times New Roman" w:cs="Times New Roman"/>
                <w:i/>
                <w:sz w:val="28"/>
                <w:szCs w:val="28"/>
              </w:rPr>
            </w:pPr>
            <w:r w:rsidRPr="002B1FEC">
              <w:rPr>
                <w:rFonts w:ascii="Times New Roman" w:hAnsi="Times New Roman" w:cs="Times New Roman"/>
                <w:i/>
                <w:sz w:val="28"/>
                <w:szCs w:val="28"/>
              </w:rPr>
              <w:t>Hà</w:t>
            </w:r>
            <w:r w:rsidRPr="002B1FEC">
              <w:rPr>
                <w:rFonts w:ascii="Times New Roman" w:hAnsi="Times New Roman" w:cs="Times New Roman"/>
                <w:i/>
                <w:sz w:val="28"/>
                <w:szCs w:val="28"/>
                <w:lang w:val="vi-VN"/>
              </w:rPr>
              <w:t xml:space="preserve"> Nội</w:t>
            </w:r>
            <w:r w:rsidRPr="002B1FEC">
              <w:rPr>
                <w:rFonts w:ascii="Times New Roman" w:hAnsi="Times New Roman" w:cs="Times New Roman"/>
                <w:i/>
                <w:sz w:val="28"/>
                <w:szCs w:val="28"/>
              </w:rPr>
              <w:t xml:space="preserve">, ngày       tháng </w:t>
            </w:r>
            <w:r w:rsidR="00247378" w:rsidRPr="002B1FEC">
              <w:rPr>
                <w:rFonts w:ascii="Times New Roman" w:hAnsi="Times New Roman" w:cs="Times New Roman"/>
                <w:i/>
                <w:sz w:val="28"/>
                <w:szCs w:val="28"/>
              </w:rPr>
              <w:t xml:space="preserve">   </w:t>
            </w:r>
            <w:r w:rsidRPr="002B1FEC">
              <w:rPr>
                <w:rFonts w:ascii="Times New Roman" w:hAnsi="Times New Roman" w:cs="Times New Roman"/>
                <w:i/>
                <w:sz w:val="28"/>
                <w:szCs w:val="28"/>
              </w:rPr>
              <w:t xml:space="preserve"> năm </w:t>
            </w:r>
            <w:r w:rsidRPr="002B1FEC">
              <w:rPr>
                <w:rFonts w:ascii="Times New Roman" w:hAnsi="Times New Roman" w:cs="Times New Roman"/>
                <w:i/>
                <w:sz w:val="28"/>
                <w:szCs w:val="28"/>
                <w:lang w:val="vi-VN"/>
              </w:rPr>
              <w:t>202</w:t>
            </w:r>
            <w:r w:rsidR="00247378" w:rsidRPr="002B1FEC">
              <w:rPr>
                <w:rFonts w:ascii="Times New Roman" w:hAnsi="Times New Roman" w:cs="Times New Roman"/>
                <w:i/>
                <w:sz w:val="28"/>
                <w:szCs w:val="28"/>
              </w:rPr>
              <w:t>6</w:t>
            </w:r>
          </w:p>
        </w:tc>
      </w:tr>
    </w:tbl>
    <w:p w14:paraId="4DB94AE2" w14:textId="77777777" w:rsidR="007018B2" w:rsidRPr="002B1FEC" w:rsidRDefault="007018B2" w:rsidP="007018B2">
      <w:pPr>
        <w:tabs>
          <w:tab w:val="left" w:pos="1220"/>
        </w:tabs>
        <w:spacing w:after="0" w:line="240" w:lineRule="auto"/>
        <w:rPr>
          <w:rFonts w:ascii="Times New Roman" w:hAnsi="Times New Roman" w:cs="Times New Roman"/>
          <w:b/>
          <w:sz w:val="28"/>
          <w:szCs w:val="28"/>
        </w:rPr>
      </w:pPr>
      <w:r w:rsidRPr="002B1FEC">
        <w:rPr>
          <w:rFonts w:ascii="Times New Roman" w:hAnsi="Times New Roman" w:cs="Times New Roman"/>
          <w:b/>
          <w:sz w:val="28"/>
          <w:szCs w:val="28"/>
        </w:rPr>
        <w:tab/>
      </w:r>
    </w:p>
    <w:tbl>
      <w:tblPr>
        <w:tblStyle w:val="TableGrid"/>
        <w:tblW w:w="0" w:type="auto"/>
        <w:tblInd w:w="-572" w:type="dxa"/>
        <w:tblLook w:val="04A0" w:firstRow="1" w:lastRow="0" w:firstColumn="1" w:lastColumn="0" w:noHBand="0" w:noVBand="1"/>
      </w:tblPr>
      <w:tblGrid>
        <w:gridCol w:w="2410"/>
      </w:tblGrid>
      <w:tr w:rsidR="008B6134" w:rsidRPr="002B1FEC" w14:paraId="48430202" w14:textId="77777777" w:rsidTr="00DB0D25">
        <w:tc>
          <w:tcPr>
            <w:tcW w:w="2410" w:type="dxa"/>
          </w:tcPr>
          <w:p w14:paraId="58016315" w14:textId="132BE46D" w:rsidR="001B5415" w:rsidRPr="00DB0D25" w:rsidRDefault="001B5415" w:rsidP="00DB0D25">
            <w:pPr>
              <w:jc w:val="center"/>
              <w:rPr>
                <w:rFonts w:ascii="Times New Roman" w:hAnsi="Times New Roman" w:cs="Times New Roman"/>
                <w:b/>
                <w:sz w:val="28"/>
                <w:szCs w:val="28"/>
              </w:rPr>
            </w:pPr>
            <w:r w:rsidRPr="00DB0D25">
              <w:rPr>
                <w:rFonts w:ascii="Times New Roman" w:hAnsi="Times New Roman" w:cs="Times New Roman"/>
                <w:b/>
                <w:sz w:val="28"/>
                <w:szCs w:val="28"/>
              </w:rPr>
              <w:t>DỰ THẢO</w:t>
            </w:r>
            <w:r w:rsidR="00DB0D25" w:rsidRPr="00DB0D25">
              <w:rPr>
                <w:rFonts w:ascii="Times New Roman" w:hAnsi="Times New Roman" w:cs="Times New Roman"/>
                <w:b/>
                <w:sz w:val="28"/>
                <w:szCs w:val="28"/>
              </w:rPr>
              <w:t xml:space="preserve"> NGÀY 2</w:t>
            </w:r>
            <w:r w:rsidR="00236DF5">
              <w:rPr>
                <w:rFonts w:ascii="Times New Roman" w:hAnsi="Times New Roman" w:cs="Times New Roman"/>
                <w:b/>
                <w:sz w:val="28"/>
                <w:szCs w:val="28"/>
              </w:rPr>
              <w:t>7</w:t>
            </w:r>
            <w:r w:rsidR="00DB0D25" w:rsidRPr="00DB0D25">
              <w:rPr>
                <w:rFonts w:ascii="Times New Roman" w:hAnsi="Times New Roman" w:cs="Times New Roman"/>
                <w:b/>
                <w:sz w:val="28"/>
                <w:szCs w:val="28"/>
              </w:rPr>
              <w:t>/5/2026</w:t>
            </w:r>
          </w:p>
        </w:tc>
      </w:tr>
    </w:tbl>
    <w:p w14:paraId="73FD325F" w14:textId="67F89485" w:rsidR="007018B2" w:rsidRPr="002B1FEC" w:rsidRDefault="009B3BCD" w:rsidP="002473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w:t>
      </w:r>
    </w:p>
    <w:p w14:paraId="492FA9CB" w14:textId="084CBD2B" w:rsidR="00247378" w:rsidRPr="002B1FEC" w:rsidRDefault="009B3BCD" w:rsidP="00BA476C">
      <w:pPr>
        <w:pStyle w:val="NoSpacing"/>
        <w:jc w:val="center"/>
        <w:rPr>
          <w:rStyle w:val="Strong"/>
          <w:color w:val="auto"/>
          <w:sz w:val="28"/>
          <w:szCs w:val="28"/>
          <w:lang w:val="en-US"/>
        </w:rPr>
      </w:pPr>
      <w:r>
        <w:rPr>
          <w:rStyle w:val="Strong"/>
          <w:color w:val="auto"/>
          <w:sz w:val="28"/>
          <w:szCs w:val="28"/>
          <w:lang w:val="en-US"/>
        </w:rPr>
        <w:t xml:space="preserve">Đánh giá tác động của chính sách </w:t>
      </w:r>
      <w:r w:rsidR="007018B2" w:rsidRPr="002B1FEC">
        <w:rPr>
          <w:rStyle w:val="Strong"/>
          <w:color w:val="auto"/>
          <w:sz w:val="28"/>
          <w:szCs w:val="28"/>
          <w:lang w:val="en-US"/>
        </w:rPr>
        <w:t>Nghị quyết của HĐND Thành phố</w:t>
      </w:r>
    </w:p>
    <w:p w14:paraId="47B2DF1F" w14:textId="18A25932" w:rsidR="00BA476C" w:rsidRPr="00D36BE0" w:rsidRDefault="009B7B6C" w:rsidP="005B22F7">
      <w:pPr>
        <w:widowControl w:val="0"/>
        <w:spacing w:after="0"/>
        <w:jc w:val="center"/>
        <w:rPr>
          <w:rStyle w:val="Strong"/>
          <w:rFonts w:ascii="Times New Roman" w:hAnsi="Times New Roman" w:cs="Times New Roman"/>
          <w:b w:val="0"/>
          <w:bCs w:val="0"/>
          <w:spacing w:val="-2"/>
          <w:sz w:val="28"/>
          <w:szCs w:val="28"/>
        </w:rPr>
      </w:pPr>
      <w:r w:rsidRPr="002B1FEC">
        <w:rPr>
          <w:rStyle w:val="Strong"/>
          <w:rFonts w:ascii="Times New Roman" w:hAnsi="Times New Roman" w:cs="Times New Roman"/>
          <w:spacing w:val="-2"/>
          <w:sz w:val="28"/>
          <w:szCs w:val="28"/>
        </w:rPr>
        <w:t>Quyết</w:t>
      </w:r>
      <w:r w:rsidR="00247378" w:rsidRPr="002B1FEC">
        <w:rPr>
          <w:rStyle w:val="Strong"/>
          <w:rFonts w:ascii="Times New Roman" w:hAnsi="Times New Roman" w:cs="Times New Roman"/>
          <w:spacing w:val="-2"/>
          <w:sz w:val="28"/>
          <w:szCs w:val="28"/>
        </w:rPr>
        <w:t xml:space="preserve"> định</w:t>
      </w:r>
      <w:r w:rsidR="007018B2" w:rsidRPr="002B1FEC">
        <w:rPr>
          <w:rStyle w:val="Strong"/>
          <w:rFonts w:ascii="Times New Roman" w:hAnsi="Times New Roman" w:cs="Times New Roman"/>
          <w:spacing w:val="-2"/>
          <w:sz w:val="28"/>
          <w:szCs w:val="28"/>
        </w:rPr>
        <w:t xml:space="preserve"> </w:t>
      </w:r>
      <w:r w:rsidR="005B22F7" w:rsidRPr="002B1FEC">
        <w:rPr>
          <w:rFonts w:ascii="Times New Roman" w:eastAsia="Times New Roman" w:hAnsi="Times New Roman" w:cs="Times New Roman"/>
          <w:b/>
          <w:bCs/>
          <w:noProof/>
          <w:sz w:val="28"/>
          <w:szCs w:val="28"/>
        </w:rPr>
        <w:t>danh mục doanh nghiệp do Nhà nước nắm giữ cổ phần, vốn góp và thực hiện đầu tư vốn nhà nước vào doanh nghiệp</w:t>
      </w:r>
      <w:r w:rsidR="00D36BE0">
        <w:rPr>
          <w:rFonts w:ascii="Times New Roman" w:eastAsia="Times New Roman" w:hAnsi="Times New Roman" w:cs="Times New Roman"/>
          <w:b/>
          <w:bCs/>
          <w:noProof/>
          <w:sz w:val="28"/>
          <w:szCs w:val="28"/>
        </w:rPr>
        <w:t xml:space="preserve">; </w:t>
      </w:r>
      <w:bookmarkStart w:id="1" w:name="_Hlk230693206"/>
      <w:r w:rsidR="00D36BE0" w:rsidRPr="00D36BE0">
        <w:rPr>
          <w:rFonts w:ascii="Times New Roman" w:hAnsi="Times New Roman" w:cs="Times New Roman"/>
          <w:b/>
          <w:bCs/>
          <w:spacing w:val="3"/>
          <w:sz w:val="28"/>
          <w:szCs w:val="28"/>
        </w:rPr>
        <w:t>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bookmarkEnd w:id="1"/>
    </w:p>
    <w:p w14:paraId="68F9DAB9" w14:textId="1D6BE4D9" w:rsidR="00247378" w:rsidRPr="002B1FEC" w:rsidRDefault="00247378" w:rsidP="00BA476C">
      <w:pPr>
        <w:pStyle w:val="NoSpacing"/>
        <w:jc w:val="center"/>
        <w:rPr>
          <w:b/>
          <w:bCs/>
          <w:color w:val="auto"/>
          <w:spacing w:val="-2"/>
          <w:sz w:val="28"/>
          <w:szCs w:val="28"/>
          <w:lang w:val="en-US"/>
        </w:rPr>
      </w:pPr>
      <w:r w:rsidRPr="002B1FEC">
        <w:rPr>
          <w:b/>
          <w:bCs/>
          <w:color w:val="auto"/>
          <w:spacing w:val="-2"/>
          <w:sz w:val="28"/>
          <w:szCs w:val="28"/>
          <w:lang w:val="en-US"/>
        </w:rPr>
        <w:t xml:space="preserve">(thực hiện </w:t>
      </w:r>
      <w:r w:rsidR="005B22F7" w:rsidRPr="002B1FEC">
        <w:rPr>
          <w:b/>
          <w:bCs/>
          <w:color w:val="auto"/>
          <w:spacing w:val="-2"/>
          <w:sz w:val="28"/>
          <w:szCs w:val="28"/>
          <w:lang w:val="en-US"/>
        </w:rPr>
        <w:t xml:space="preserve">điểm a </w:t>
      </w:r>
      <w:r w:rsidRPr="002B1FEC">
        <w:rPr>
          <w:b/>
          <w:bCs/>
          <w:color w:val="auto"/>
          <w:spacing w:val="-2"/>
          <w:sz w:val="28"/>
          <w:szCs w:val="28"/>
          <w:lang w:val="en-US"/>
        </w:rPr>
        <w:t xml:space="preserve">khoản </w:t>
      </w:r>
      <w:r w:rsidR="005B22F7" w:rsidRPr="002B1FEC">
        <w:rPr>
          <w:b/>
          <w:bCs/>
          <w:color w:val="auto"/>
          <w:spacing w:val="-2"/>
          <w:sz w:val="28"/>
          <w:szCs w:val="28"/>
          <w:lang w:val="en-US"/>
        </w:rPr>
        <w:t>9</w:t>
      </w:r>
      <w:r w:rsidRPr="002B1FEC">
        <w:rPr>
          <w:b/>
          <w:bCs/>
          <w:color w:val="auto"/>
          <w:spacing w:val="-2"/>
          <w:sz w:val="28"/>
          <w:szCs w:val="28"/>
          <w:lang w:val="en-US"/>
        </w:rPr>
        <w:t xml:space="preserve"> Điều </w:t>
      </w:r>
      <w:r w:rsidR="005B22F7" w:rsidRPr="002B1FEC">
        <w:rPr>
          <w:b/>
          <w:bCs/>
          <w:color w:val="auto"/>
          <w:spacing w:val="-2"/>
          <w:sz w:val="28"/>
          <w:szCs w:val="28"/>
          <w:lang w:val="en-US"/>
        </w:rPr>
        <w:t>26</w:t>
      </w:r>
      <w:r w:rsidRPr="002B1FEC">
        <w:rPr>
          <w:b/>
          <w:bCs/>
          <w:color w:val="auto"/>
          <w:spacing w:val="-2"/>
          <w:sz w:val="28"/>
          <w:szCs w:val="28"/>
          <w:lang w:val="en-US"/>
        </w:rPr>
        <w:t xml:space="preserve"> Luật Thủ đô)</w:t>
      </w:r>
    </w:p>
    <w:p w14:paraId="4D9CC15D" w14:textId="77777777" w:rsidR="007018B2" w:rsidRPr="002B1FEC" w:rsidRDefault="007018B2" w:rsidP="00247378">
      <w:pPr>
        <w:pStyle w:val="NoSpacing"/>
        <w:jc w:val="center"/>
        <w:rPr>
          <w:color w:val="auto"/>
          <w:sz w:val="28"/>
          <w:szCs w:val="28"/>
        </w:rPr>
      </w:pPr>
      <w:r w:rsidRPr="002B1FEC">
        <w:rPr>
          <w:color w:val="auto"/>
          <w:sz w:val="28"/>
          <w:szCs w:val="28"/>
        </w:rPr>
        <w:t>–––––––––––––––</w:t>
      </w:r>
    </w:p>
    <w:p w14:paraId="11B2EC3F" w14:textId="4F372CC0" w:rsidR="007018B2" w:rsidRPr="002B1FEC" w:rsidRDefault="007018B2" w:rsidP="00247378">
      <w:pPr>
        <w:spacing w:after="0" w:line="240" w:lineRule="auto"/>
        <w:jc w:val="center"/>
        <w:rPr>
          <w:rFonts w:ascii="Times New Roman" w:hAnsi="Times New Roman" w:cs="Times New Roman"/>
          <w:sz w:val="28"/>
          <w:szCs w:val="28"/>
          <w:lang w:val="ru-RU"/>
        </w:rPr>
      </w:pPr>
      <w:r w:rsidRPr="002B1FEC">
        <w:rPr>
          <w:rFonts w:ascii="Times New Roman" w:hAnsi="Times New Roman" w:cs="Times New Roman"/>
          <w:sz w:val="28"/>
          <w:szCs w:val="28"/>
        </w:rPr>
        <w:t>K</w:t>
      </w:r>
      <w:r w:rsidRPr="002B1FEC">
        <w:rPr>
          <w:rFonts w:ascii="Times New Roman" w:hAnsi="Times New Roman" w:cs="Times New Roman"/>
          <w:sz w:val="28"/>
          <w:szCs w:val="28"/>
          <w:lang w:val="ru-RU"/>
        </w:rPr>
        <w:t>í</w:t>
      </w:r>
      <w:r w:rsidRPr="002B1FEC">
        <w:rPr>
          <w:rFonts w:ascii="Times New Roman" w:hAnsi="Times New Roman" w:cs="Times New Roman"/>
          <w:sz w:val="28"/>
          <w:szCs w:val="28"/>
        </w:rPr>
        <w:t>nh</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gửi</w:t>
      </w:r>
      <w:r w:rsidRPr="002B1FEC">
        <w:rPr>
          <w:rFonts w:ascii="Times New Roman" w:hAnsi="Times New Roman" w:cs="Times New Roman"/>
          <w:sz w:val="28"/>
          <w:szCs w:val="28"/>
          <w:lang w:val="ru-RU"/>
        </w:rPr>
        <w:t xml:space="preserve">: </w:t>
      </w:r>
      <w:r w:rsidR="00247378" w:rsidRPr="002B1FEC">
        <w:rPr>
          <w:rFonts w:ascii="Times New Roman" w:hAnsi="Times New Roman" w:cs="Times New Roman"/>
          <w:sz w:val="28"/>
          <w:szCs w:val="28"/>
        </w:rPr>
        <w:t>Hội đồng</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nh</w:t>
      </w:r>
      <w:r w:rsidRPr="002B1FEC">
        <w:rPr>
          <w:rFonts w:ascii="Times New Roman" w:hAnsi="Times New Roman" w:cs="Times New Roman"/>
          <w:sz w:val="28"/>
          <w:szCs w:val="28"/>
          <w:lang w:val="ru-RU"/>
        </w:rPr>
        <w:t>â</w:t>
      </w:r>
      <w:r w:rsidRPr="002B1FEC">
        <w:rPr>
          <w:rFonts w:ascii="Times New Roman" w:hAnsi="Times New Roman" w:cs="Times New Roman"/>
          <w:sz w:val="28"/>
          <w:szCs w:val="28"/>
        </w:rPr>
        <w:t>n</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d</w:t>
      </w:r>
      <w:r w:rsidRPr="002B1FEC">
        <w:rPr>
          <w:rFonts w:ascii="Times New Roman" w:hAnsi="Times New Roman" w:cs="Times New Roman"/>
          <w:sz w:val="28"/>
          <w:szCs w:val="28"/>
          <w:lang w:val="ru-RU"/>
        </w:rPr>
        <w:t>â</w:t>
      </w:r>
      <w:r w:rsidRPr="002B1FEC">
        <w:rPr>
          <w:rFonts w:ascii="Times New Roman" w:hAnsi="Times New Roman" w:cs="Times New Roman"/>
          <w:sz w:val="28"/>
          <w:szCs w:val="28"/>
        </w:rPr>
        <w:t>n</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Th</w:t>
      </w:r>
      <w:r w:rsidRPr="002B1FEC">
        <w:rPr>
          <w:rFonts w:ascii="Times New Roman" w:hAnsi="Times New Roman" w:cs="Times New Roman"/>
          <w:sz w:val="28"/>
          <w:szCs w:val="28"/>
          <w:lang w:val="ru-RU"/>
        </w:rPr>
        <w:t>à</w:t>
      </w:r>
      <w:r w:rsidRPr="002B1FEC">
        <w:rPr>
          <w:rFonts w:ascii="Times New Roman" w:hAnsi="Times New Roman" w:cs="Times New Roman"/>
          <w:sz w:val="28"/>
          <w:szCs w:val="28"/>
        </w:rPr>
        <w:t>nh</w:t>
      </w:r>
      <w:r w:rsidRPr="002B1FEC">
        <w:rPr>
          <w:rFonts w:ascii="Times New Roman" w:hAnsi="Times New Roman" w:cs="Times New Roman"/>
          <w:sz w:val="28"/>
          <w:szCs w:val="28"/>
          <w:lang w:val="ru-RU"/>
        </w:rPr>
        <w:t xml:space="preserve"> </w:t>
      </w:r>
      <w:r w:rsidRPr="002B1FEC">
        <w:rPr>
          <w:rFonts w:ascii="Times New Roman" w:hAnsi="Times New Roman" w:cs="Times New Roman"/>
          <w:sz w:val="28"/>
          <w:szCs w:val="28"/>
        </w:rPr>
        <w:t>phố</w:t>
      </w:r>
      <w:r w:rsidRPr="002B1FEC">
        <w:rPr>
          <w:rFonts w:ascii="Times New Roman" w:hAnsi="Times New Roman" w:cs="Times New Roman"/>
          <w:sz w:val="28"/>
          <w:szCs w:val="28"/>
          <w:lang w:val="ru-RU"/>
        </w:rPr>
        <w:t xml:space="preserve"> </w:t>
      </w:r>
    </w:p>
    <w:p w14:paraId="7C31A4D9" w14:textId="77777777" w:rsidR="00E84DE8" w:rsidRPr="002B1FEC" w:rsidRDefault="00E84DE8" w:rsidP="00247378">
      <w:pPr>
        <w:spacing w:after="0" w:line="240" w:lineRule="auto"/>
        <w:ind w:firstLine="720"/>
        <w:jc w:val="both"/>
        <w:rPr>
          <w:rFonts w:ascii="Times New Roman" w:hAnsi="Times New Roman" w:cs="Times New Roman"/>
          <w:spacing w:val="-2"/>
          <w:sz w:val="28"/>
          <w:szCs w:val="28"/>
        </w:rPr>
      </w:pPr>
    </w:p>
    <w:p w14:paraId="47B30014" w14:textId="6C16AF90" w:rsidR="009B3BCD" w:rsidRPr="006412FB" w:rsidRDefault="009B3BCD" w:rsidP="005A633B">
      <w:pPr>
        <w:pStyle w:val="Heading2"/>
        <w:spacing w:before="20" w:beforeAutospacing="0" w:after="0" w:afterAutospacing="0"/>
        <w:ind w:firstLine="709"/>
        <w:jc w:val="both"/>
        <w:rPr>
          <w:sz w:val="28"/>
          <w:szCs w:val="28"/>
        </w:rPr>
      </w:pPr>
      <w:r w:rsidRPr="006412FB">
        <w:rPr>
          <w:sz w:val="28"/>
          <w:szCs w:val="28"/>
        </w:rPr>
        <w:t>I. XÁC ĐỊNH VẤN ĐỀ</w:t>
      </w:r>
    </w:p>
    <w:p w14:paraId="3D5A1622" w14:textId="77A933A3" w:rsidR="009B3BCD" w:rsidRPr="006412FB" w:rsidRDefault="009B3BCD" w:rsidP="005A633B">
      <w:pPr>
        <w:pStyle w:val="Heading2"/>
        <w:numPr>
          <w:ilvl w:val="0"/>
          <w:numId w:val="3"/>
        </w:numPr>
        <w:spacing w:before="20" w:beforeAutospacing="0" w:after="0" w:afterAutospacing="0"/>
        <w:ind w:firstLine="709"/>
        <w:jc w:val="both"/>
        <w:rPr>
          <w:sz w:val="28"/>
          <w:szCs w:val="28"/>
        </w:rPr>
      </w:pPr>
      <w:r w:rsidRPr="006412FB">
        <w:rPr>
          <w:sz w:val="28"/>
          <w:szCs w:val="28"/>
        </w:rPr>
        <w:t>Bối cảnh xây dựng chính sách</w:t>
      </w:r>
    </w:p>
    <w:p w14:paraId="3916E58B" w14:textId="1922FBDC" w:rsidR="009B3BCD" w:rsidRPr="006412FB" w:rsidRDefault="009B3BCD" w:rsidP="005A633B">
      <w:pPr>
        <w:pStyle w:val="NormalWeb"/>
        <w:spacing w:before="20" w:after="0" w:line="240" w:lineRule="auto"/>
        <w:ind w:firstLine="709"/>
        <w:jc w:val="both"/>
        <w:rPr>
          <w:sz w:val="28"/>
          <w:szCs w:val="28"/>
        </w:rPr>
      </w:pPr>
      <w:r w:rsidRPr="006412FB">
        <w:rPr>
          <w:sz w:val="28"/>
          <w:szCs w:val="28"/>
        </w:rPr>
        <w:t>Điểm a khoản 9 Điều 26 Luật Thủ đô số 02/2026/QH16 giao Hội đồng nhân dân thành phố Hà Nội quyết định danh mục doanh nghiệp do Nhà nước nắm giữ cổ phần, vốn góp và thực hiện đầu tư vốn nhà nước vào doanh nghiệp</w:t>
      </w:r>
      <w:r w:rsidR="00A44088" w:rsidRPr="006412FB">
        <w:rPr>
          <w:sz w:val="28"/>
          <w:szCs w:val="28"/>
        </w:rPr>
        <w:t xml:space="preserve">; </w:t>
      </w:r>
      <w:r w:rsidR="00A44088" w:rsidRPr="006412FB">
        <w:rPr>
          <w:bCs/>
          <w:sz w:val="28"/>
          <w:szCs w:val="28"/>
        </w:rPr>
        <w:t>cơ chế chi trả tiền lương, thù lao, tiền thưởng đối với người đại diện chủ sở hữu trực tiếp, kiểm soát viên và người đại diện vốn nhà nước tại doanh nghiệp</w:t>
      </w:r>
      <w:r w:rsidRPr="006412FB">
        <w:rPr>
          <w:sz w:val="28"/>
          <w:szCs w:val="28"/>
        </w:rPr>
        <w:t>. Đây là cơ chế phân quyền đặc thù, thể hiện chủ trương tăng cường tính tự chủ, tự chịu trách nhiệm cho Thủ đô trong quản lý và sử dụng nguồn lực nhà nước phục vụ phát triển kinh tế - xã hội.</w:t>
      </w:r>
    </w:p>
    <w:p w14:paraId="3E70DD03" w14:textId="77777777" w:rsidR="009B3BCD" w:rsidRPr="006412FB" w:rsidRDefault="009B3BCD" w:rsidP="005A633B">
      <w:pPr>
        <w:pStyle w:val="NormalWeb"/>
        <w:spacing w:before="20" w:after="0" w:line="240" w:lineRule="auto"/>
        <w:ind w:firstLine="709"/>
        <w:jc w:val="both"/>
        <w:rPr>
          <w:sz w:val="28"/>
          <w:szCs w:val="28"/>
        </w:rPr>
      </w:pPr>
      <w:r w:rsidRPr="006412FB">
        <w:rPr>
          <w:sz w:val="28"/>
          <w:szCs w:val="28"/>
        </w:rPr>
        <w:t>Bên cạnh đó, Luật Quản lý và đầu tư vốn nhà nước tại doanh nghiệp số 68/2025/QH15; Nghị định số 366/2025/NĐ-CP của Chính phủ và dự thảo Quyết định của Thủ tướng Chính phủ về tiêu chí phân loại doanh nghiệp nhà nước, doanh nghiệp có vốn nhà nước đã đặt ra yêu cầu tiếp tục cơ cấu lại doanh nghiệp nhà nước theo hướng tập trung vào các lĩnh vực thiết yếu, hạ tầng chiến lược, đổi mới sáng tạo, chuyển đổi số và các lĩnh vực Nhà nước cần giữ vai trò dẫn dắt.</w:t>
      </w:r>
    </w:p>
    <w:p w14:paraId="075BC451" w14:textId="5A313E33" w:rsidR="00A44088" w:rsidRPr="006412FB" w:rsidRDefault="009B3BCD" w:rsidP="005A633B">
      <w:pPr>
        <w:autoSpaceDE w:val="0"/>
        <w:autoSpaceDN w:val="0"/>
        <w:adjustRightInd w:val="0"/>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Thực tiễn quản lý doanh nghiệp có vốn nhà nước thuộc UBND thành phố Hà Nội cho thấy còn tồn tại một số hạn chế như: doanh nghiệp chưa thực sự tập trung; một số doanh nghiệp hoạt động ngoài ngành nghề trọng tâm; cơ chế quyết định đầu tư vốn nhà nước còn phụ thuộc nhiều cấp, kéo dài thời gian xử lý; hiệu quả sử dụng vốn tại một số doanh nghiệp chưa cao; việc sắp xếp, cơ cấu lại doanh nghiệp còn thiếu cơ sở pháp lý đồng bộ phù hợp với đặc thù của Thủ đô</w:t>
      </w:r>
      <w:r w:rsidR="00A44088" w:rsidRPr="006412FB">
        <w:rPr>
          <w:rFonts w:ascii="Times New Roman" w:hAnsi="Times New Roman" w:cs="Times New Roman"/>
          <w:sz w:val="28"/>
          <w:szCs w:val="28"/>
        </w:rPr>
        <w:t xml:space="preserve">; </w:t>
      </w:r>
      <w:r w:rsidR="00A44088" w:rsidRPr="006412FB">
        <w:rPr>
          <w:rFonts w:ascii="Times New Roman" w:hAnsi="Times New Roman" w:cs="Times New Roman"/>
          <w:sz w:val="28"/>
          <w:szCs w:val="28"/>
          <w:lang w:val="en"/>
        </w:rPr>
        <w:t xml:space="preserve">cũng như </w:t>
      </w:r>
      <w:r w:rsidR="00A44088" w:rsidRPr="006412FB">
        <w:rPr>
          <w:rFonts w:ascii="Times New Roman" w:hAnsi="Times New Roman" w:cs="Times New Roman"/>
          <w:sz w:val="28"/>
          <w:szCs w:val="28"/>
        </w:rPr>
        <w:t>một số hạn chế nh</w:t>
      </w:r>
      <w:r w:rsidR="00A44088" w:rsidRPr="006412FB">
        <w:rPr>
          <w:rFonts w:ascii="Times New Roman" w:hAnsi="Times New Roman" w:cs="Times New Roman"/>
          <w:sz w:val="28"/>
          <w:szCs w:val="28"/>
          <w:lang w:val="vi-VN"/>
        </w:rPr>
        <w:t>ư</w:t>
      </w:r>
      <w:r w:rsidR="00A44088" w:rsidRPr="006412FB">
        <w:rPr>
          <w:rFonts w:ascii="Times New Roman" w:hAnsi="Times New Roman" w:cs="Times New Roman"/>
          <w:sz w:val="28"/>
          <w:szCs w:val="28"/>
        </w:rPr>
        <w:t xml:space="preserve"> tiền lương, thù lao, tiền thưởng đối với </w:t>
      </w:r>
      <w:r w:rsidR="00A44088" w:rsidRPr="006412FB">
        <w:rPr>
          <w:rFonts w:ascii="Times New Roman" w:hAnsi="Times New Roman" w:cs="Times New Roman"/>
          <w:bCs/>
          <w:sz w:val="28"/>
          <w:szCs w:val="28"/>
        </w:rPr>
        <w:t>người đại diện chủ sở hữu trực tiếp, kiểm soát viên và người đại diện vốn nhà nước tại doanh nghiệp còn thấp</w:t>
      </w:r>
      <w:r w:rsidR="00A44088" w:rsidRPr="006412FB">
        <w:rPr>
          <w:rFonts w:ascii="Times New Roman" w:hAnsi="Times New Roman" w:cs="Times New Roman"/>
          <w:sz w:val="28"/>
          <w:szCs w:val="28"/>
        </w:rPr>
        <w:t>.</w:t>
      </w:r>
    </w:p>
    <w:p w14:paraId="283818FF" w14:textId="63400559" w:rsidR="009B3BCD" w:rsidRPr="006412FB" w:rsidRDefault="005210C5" w:rsidP="005A633B">
      <w:pPr>
        <w:numPr>
          <w:ilvl w:val="0"/>
          <w:numId w:val="4"/>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lastRenderedPageBreak/>
        <w:t>Trong bối cảnh Hà Nội đang triển khai các mục tiêu phát triển đô thị thông minh, chuyển đổi số, phát triển xanh và hạ tầng chiến lược, việc ban hành Nghị quyết là cần thiết nhằm hoàn thiện cơ sở pháp lý để Thành phố chủ động quản lý, đầu tư và cơ cấu lại vốn nhà nước tại doanh nghiệp theo cơ chế đặc thù của Luật Thủ đô; đồng thời nâng cao hiệu quả sử dụng vốn nhà nước, tập trung nguồn lực cho các lĩnh vực thiết yếu, chiến lược và có vai trò dẫn dắt phát triển kinh tế - xã hội của Thủ đô</w:t>
      </w:r>
      <w:r w:rsidR="009B3BCD" w:rsidRPr="006412FB">
        <w:rPr>
          <w:rFonts w:ascii="Times New Roman" w:hAnsi="Times New Roman" w:cs="Times New Roman"/>
          <w:sz w:val="28"/>
          <w:szCs w:val="28"/>
        </w:rPr>
        <w:t>.</w:t>
      </w:r>
    </w:p>
    <w:p w14:paraId="73F782B5" w14:textId="5708F54D" w:rsidR="009B3BCD" w:rsidRPr="006412FB" w:rsidRDefault="006D7D21" w:rsidP="005A633B">
      <w:pPr>
        <w:pStyle w:val="Heading2"/>
        <w:numPr>
          <w:ilvl w:val="0"/>
          <w:numId w:val="3"/>
        </w:numPr>
        <w:spacing w:before="20" w:beforeAutospacing="0" w:after="0" w:afterAutospacing="0"/>
        <w:ind w:firstLine="709"/>
        <w:jc w:val="both"/>
        <w:rPr>
          <w:sz w:val="28"/>
          <w:szCs w:val="28"/>
        </w:rPr>
      </w:pPr>
      <w:r w:rsidRPr="006412FB">
        <w:rPr>
          <w:sz w:val="28"/>
          <w:szCs w:val="28"/>
        </w:rPr>
        <w:t>Mục tiêu xây dựng chính sách:</w:t>
      </w:r>
    </w:p>
    <w:p w14:paraId="795E6052" w14:textId="657844F3" w:rsidR="009B3BCD" w:rsidRPr="006412FB" w:rsidRDefault="00D3043A"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a)</w:t>
      </w:r>
      <w:r w:rsidR="009B3BCD" w:rsidRPr="006412FB">
        <w:rPr>
          <w:rFonts w:ascii="Times New Roman" w:hAnsi="Times New Roman" w:cs="Times New Roman"/>
          <w:color w:val="auto"/>
          <w:sz w:val="28"/>
          <w:szCs w:val="28"/>
        </w:rPr>
        <w:t xml:space="preserve"> Mục tiêu tổng quát</w:t>
      </w:r>
    </w:p>
    <w:p w14:paraId="34A232AF" w14:textId="39E1199F" w:rsidR="009B3BCD" w:rsidRPr="006412FB" w:rsidRDefault="009B3BCD" w:rsidP="005A633B">
      <w:pPr>
        <w:pStyle w:val="NormalWeb"/>
        <w:spacing w:before="20" w:after="0" w:line="240" w:lineRule="auto"/>
        <w:ind w:firstLine="709"/>
        <w:jc w:val="both"/>
        <w:rPr>
          <w:sz w:val="28"/>
          <w:szCs w:val="28"/>
        </w:rPr>
      </w:pPr>
      <w:r w:rsidRPr="006412FB">
        <w:rPr>
          <w:sz w:val="28"/>
          <w:szCs w:val="28"/>
        </w:rPr>
        <w:t>Xây dựng cơ sở pháp lý để thành phố Hà Nội chủ động quản lý, đầu tư và cơ cấu lại vốn nhà nước tại doanh nghiệp theo cơ chế đặc thù của Luật Thủ đô; tập trung nguồn lực nhà nước vào các lĩnh vực công ích thiết yếu, hạ tầng chiến lược, đổi mới sáng tạo, chuyển đổi số và các lĩnh vực có vai trò dẫn dắt phát triển kinh tế - xã hội của Thủ đô.</w:t>
      </w:r>
    </w:p>
    <w:p w14:paraId="0BA0B438" w14:textId="753888D2" w:rsidR="00A44088" w:rsidRPr="006412FB" w:rsidRDefault="00A44088" w:rsidP="005A633B">
      <w:pPr>
        <w:pStyle w:val="NormalWeb"/>
        <w:spacing w:before="20" w:after="0" w:line="240" w:lineRule="auto"/>
        <w:ind w:firstLine="709"/>
        <w:jc w:val="both"/>
        <w:rPr>
          <w:sz w:val="28"/>
          <w:szCs w:val="28"/>
        </w:rPr>
      </w:pPr>
      <w:r w:rsidRPr="006412FB">
        <w:rPr>
          <w:sz w:val="28"/>
          <w:szCs w:val="28"/>
        </w:rPr>
        <w:t>Xây dựng cơ sở pháp lý để thành phố Hà Nội chủ động chi trả tiền lương, thù lao, tiền thưởng tại các doanh nghiệp thuộc UBND Thành phố theo cơ chế đặc thù của Luật Thủ đô;</w:t>
      </w:r>
    </w:p>
    <w:p w14:paraId="4D7F3805" w14:textId="664C374D" w:rsidR="009B3BCD" w:rsidRPr="006412FB" w:rsidRDefault="00D3043A"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b)</w:t>
      </w:r>
      <w:r w:rsidR="009B3BCD" w:rsidRPr="006412FB">
        <w:rPr>
          <w:rFonts w:ascii="Times New Roman" w:hAnsi="Times New Roman" w:cs="Times New Roman"/>
          <w:color w:val="auto"/>
          <w:sz w:val="28"/>
          <w:szCs w:val="28"/>
        </w:rPr>
        <w:t xml:space="preserve"> Mục tiêu cụ thể</w:t>
      </w:r>
    </w:p>
    <w:p w14:paraId="2494E67E" w14:textId="2A4AF3B2" w:rsidR="009B3BCD" w:rsidRPr="006412FB" w:rsidRDefault="005D441D" w:rsidP="005A633B">
      <w:pPr>
        <w:numPr>
          <w:ilvl w:val="0"/>
          <w:numId w:val="5"/>
        </w:numPr>
        <w:spacing w:before="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Giao UBND Thành phố quyền quyết định danh mục doanh nghiệp UBND Thành phố nắm giữ cổ phần, vốn góp trên tinh thần Đảng lãnh đạo, Thành ủy cho ý kiến chủ trương làm cơ sở triển khai thực hiện cơ cấu lại doanh nghiệp có vốn nhà nước.</w:t>
      </w:r>
    </w:p>
    <w:p w14:paraId="7F5B3EF8" w14:textId="77777777" w:rsidR="009B3BCD" w:rsidRPr="006412FB" w:rsidRDefault="009B3BCD" w:rsidP="005A633B">
      <w:pPr>
        <w:numPr>
          <w:ilvl w:val="0"/>
          <w:numId w:val="5"/>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Tạo cơ chế phân cấp, phân quyền rõ ràng giữa Hội đồng nhân dân Thành phố, UBND Thành phố và doanh nghiệp trong quyết định đầu tư vốn nhà nước.</w:t>
      </w:r>
    </w:p>
    <w:p w14:paraId="6A8BB012" w14:textId="77777777" w:rsidR="009B3BCD" w:rsidRPr="006412FB" w:rsidRDefault="009B3BCD" w:rsidP="005A633B">
      <w:pPr>
        <w:numPr>
          <w:ilvl w:val="0"/>
          <w:numId w:val="5"/>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Bảo đảm việc đầu tư vốn nhà nước tập trung, hiệu quả, tránh dàn trải, thất thoát vốn.</w:t>
      </w:r>
    </w:p>
    <w:p w14:paraId="61621C79" w14:textId="14E5C4B2" w:rsidR="009B3BCD" w:rsidRPr="006412FB" w:rsidRDefault="009B3BCD" w:rsidP="005A633B">
      <w:pPr>
        <w:numPr>
          <w:ilvl w:val="0"/>
          <w:numId w:val="5"/>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Đẩy mạnh sắp xếp, tinh gọn đầu mối doanh nghiệp có vốn nhà nước thuộc UBND Thành phố.</w:t>
      </w:r>
    </w:p>
    <w:p w14:paraId="1905605F" w14:textId="0E15D652" w:rsidR="00A44088" w:rsidRPr="006412FB" w:rsidRDefault="00A44088" w:rsidP="005A633B">
      <w:pPr>
        <w:pStyle w:val="ListParagraph"/>
        <w:numPr>
          <w:ilvl w:val="0"/>
          <w:numId w:val="5"/>
        </w:numPr>
        <w:autoSpaceDE w:val="0"/>
        <w:autoSpaceDN w:val="0"/>
        <w:adjustRightInd w:val="0"/>
        <w:spacing w:before="20" w:after="0" w:line="240" w:lineRule="auto"/>
        <w:ind w:firstLine="709"/>
        <w:contextualSpacing w:val="0"/>
        <w:jc w:val="both"/>
        <w:rPr>
          <w:rFonts w:ascii="Times New Roman" w:hAnsi="Times New Roman" w:cs="Times New Roman"/>
          <w:sz w:val="28"/>
          <w:szCs w:val="28"/>
        </w:rPr>
      </w:pPr>
      <w:r w:rsidRPr="006412FB">
        <w:rPr>
          <w:rFonts w:ascii="Times New Roman" w:hAnsi="Times New Roman" w:cs="Times New Roman"/>
          <w:sz w:val="28"/>
          <w:szCs w:val="28"/>
        </w:rPr>
        <w:t xml:space="preserve">Xây dựng cơ sở pháp lý để thành phố Hà Nội chủ động chi trả tiền lương, thù lao, tiền thưởng tại các doanh nghiệp thuộc UBND Thành phố theo cơ chế đặc thù của Luật Thủ đô; </w:t>
      </w:r>
    </w:p>
    <w:p w14:paraId="7E4ED2D5" w14:textId="41C04B04" w:rsidR="00A44088" w:rsidRPr="006412FB" w:rsidRDefault="00A44088" w:rsidP="005A633B">
      <w:pPr>
        <w:pStyle w:val="ListParagraph"/>
        <w:numPr>
          <w:ilvl w:val="0"/>
          <w:numId w:val="5"/>
        </w:numPr>
        <w:autoSpaceDE w:val="0"/>
        <w:autoSpaceDN w:val="0"/>
        <w:adjustRightInd w:val="0"/>
        <w:spacing w:before="20" w:after="0" w:line="240" w:lineRule="auto"/>
        <w:ind w:firstLine="709"/>
        <w:contextualSpacing w:val="0"/>
        <w:jc w:val="both"/>
        <w:rPr>
          <w:rFonts w:ascii="Times New Roman" w:hAnsi="Times New Roman" w:cs="Times New Roman"/>
          <w:sz w:val="28"/>
          <w:szCs w:val="28"/>
        </w:rPr>
      </w:pPr>
      <w:r w:rsidRPr="006412FB">
        <w:rPr>
          <w:rFonts w:ascii="Times New Roman" w:hAnsi="Times New Roman" w:cs="Times New Roman"/>
          <w:sz w:val="28"/>
          <w:szCs w:val="28"/>
        </w:rPr>
        <w:t>Xác định rõ trách nhiệm của người đại diện chủ sở hữu trực tiếp, kiểm soát viên và người đại diện vốn nhà nước tại doanh nghiệp khi điều hành quản lý kiểm tra giám sát doanh nghiệp.</w:t>
      </w:r>
    </w:p>
    <w:p w14:paraId="07B2C358" w14:textId="77777777" w:rsidR="00A44088" w:rsidRPr="006412FB" w:rsidRDefault="00A44088" w:rsidP="005A633B">
      <w:pPr>
        <w:pStyle w:val="ListParagraph"/>
        <w:numPr>
          <w:ilvl w:val="0"/>
          <w:numId w:val="5"/>
        </w:numPr>
        <w:autoSpaceDE w:val="0"/>
        <w:autoSpaceDN w:val="0"/>
        <w:adjustRightInd w:val="0"/>
        <w:spacing w:before="20" w:after="0" w:line="240" w:lineRule="auto"/>
        <w:ind w:firstLine="709"/>
        <w:contextualSpacing w:val="0"/>
        <w:jc w:val="both"/>
        <w:rPr>
          <w:rFonts w:ascii="Times New Roman" w:hAnsi="Times New Roman" w:cs="Times New Roman"/>
          <w:sz w:val="28"/>
          <w:szCs w:val="28"/>
        </w:rPr>
      </w:pPr>
      <w:r w:rsidRPr="006412FB">
        <w:rPr>
          <w:rFonts w:ascii="Times New Roman" w:hAnsi="Times New Roman" w:cs="Times New Roman"/>
          <w:sz w:val="28"/>
          <w:szCs w:val="28"/>
        </w:rPr>
        <w:t>Bảo đảm việc nâng cao hiệu quả sản xuất kinh doanh của các doanh nghiệp</w:t>
      </w:r>
    </w:p>
    <w:p w14:paraId="4DB7A36D" w14:textId="2C3AFC78" w:rsidR="00A44088" w:rsidRPr="006412FB" w:rsidRDefault="00A44088" w:rsidP="005A633B">
      <w:pPr>
        <w:pStyle w:val="ListParagraph"/>
        <w:numPr>
          <w:ilvl w:val="0"/>
          <w:numId w:val="5"/>
        </w:numPr>
        <w:autoSpaceDE w:val="0"/>
        <w:autoSpaceDN w:val="0"/>
        <w:adjustRightInd w:val="0"/>
        <w:spacing w:before="20" w:after="0" w:line="240" w:lineRule="auto"/>
        <w:ind w:firstLine="709"/>
        <w:contextualSpacing w:val="0"/>
        <w:jc w:val="both"/>
        <w:rPr>
          <w:rFonts w:ascii="Times New Roman" w:hAnsi="Times New Roman" w:cs="Times New Roman"/>
          <w:sz w:val="28"/>
          <w:szCs w:val="28"/>
        </w:rPr>
      </w:pPr>
      <w:r w:rsidRPr="006412FB">
        <w:rPr>
          <w:rFonts w:ascii="Times New Roman" w:hAnsi="Times New Roman" w:cs="Times New Roman"/>
          <w:sz w:val="28"/>
          <w:szCs w:val="28"/>
        </w:rPr>
        <w:t>Tăng cường tính công khai, minh bạch và trách nhiệm giải trình trong quản lý vốn nhà nước tại doanh nghiệp, về tiền lương, thù lao, tiền thưởng trong quản lý doanh nghiệp.</w:t>
      </w:r>
    </w:p>
    <w:p w14:paraId="0BEB4AA4" w14:textId="14F273D5" w:rsidR="009B3BCD" w:rsidRPr="006412FB" w:rsidRDefault="009B3BCD" w:rsidP="005A633B">
      <w:pPr>
        <w:pStyle w:val="Heading2"/>
        <w:spacing w:before="20" w:beforeAutospacing="0" w:after="0" w:afterAutospacing="0"/>
        <w:ind w:firstLine="709"/>
        <w:jc w:val="both"/>
        <w:rPr>
          <w:sz w:val="28"/>
          <w:szCs w:val="28"/>
        </w:rPr>
      </w:pPr>
      <w:r w:rsidRPr="006412FB">
        <w:rPr>
          <w:sz w:val="28"/>
          <w:szCs w:val="28"/>
        </w:rPr>
        <w:t>II. ĐÁNH GIÁ TÁC ĐỘNG CỦA CHÍNH SÁCH</w:t>
      </w:r>
    </w:p>
    <w:p w14:paraId="73B366FF" w14:textId="77777777" w:rsidR="00F156DC" w:rsidRPr="006412FB" w:rsidRDefault="009B3BCD"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 xml:space="preserve">1. </w:t>
      </w:r>
      <w:r w:rsidR="00F156DC" w:rsidRPr="006412FB">
        <w:rPr>
          <w:rFonts w:ascii="Times New Roman" w:hAnsi="Times New Roman" w:cs="Times New Roman"/>
          <w:color w:val="auto"/>
          <w:sz w:val="28"/>
          <w:szCs w:val="28"/>
        </w:rPr>
        <w:t>Đánh giá tác động đối với hệ thống pháp luật</w:t>
      </w:r>
    </w:p>
    <w:p w14:paraId="311662C7" w14:textId="56DD774A" w:rsidR="00F156DC" w:rsidRPr="006412FB" w:rsidRDefault="00F156DC" w:rsidP="005A633B">
      <w:pPr>
        <w:pStyle w:val="NormalWeb"/>
        <w:spacing w:before="20" w:after="0" w:line="240" w:lineRule="auto"/>
        <w:ind w:firstLine="709"/>
        <w:jc w:val="both"/>
        <w:rPr>
          <w:sz w:val="28"/>
          <w:szCs w:val="28"/>
        </w:rPr>
      </w:pPr>
      <w:r w:rsidRPr="006412FB">
        <w:rPr>
          <w:sz w:val="28"/>
          <w:szCs w:val="28"/>
        </w:rPr>
        <w:t>Nghị quyết bảo đảm phù hợp với: Luật Thủ đô số 02/2026/QH16; Luật Quản lý và đầu tư vốn nhà nước tại doanh nghiệp số 68/2025/QH15; Luật Doanh nghiệp; Luật Ban hành văn bản quy phạm pháp luật; Các nghị định của Chính phủ và văn bản hướng dẫn có liên quan</w:t>
      </w:r>
      <w:r w:rsidR="00A44088" w:rsidRPr="006412FB">
        <w:rPr>
          <w:sz w:val="28"/>
          <w:szCs w:val="28"/>
        </w:rPr>
        <w:t xml:space="preserve"> về quản lý vốn nhà nước và tiền lương</w:t>
      </w:r>
      <w:r w:rsidRPr="006412FB">
        <w:rPr>
          <w:sz w:val="28"/>
          <w:szCs w:val="28"/>
        </w:rPr>
        <w:t>.</w:t>
      </w:r>
    </w:p>
    <w:p w14:paraId="42D82DA1" w14:textId="2B5AD8D6" w:rsidR="00F156DC" w:rsidRPr="006412FB" w:rsidRDefault="00F156DC" w:rsidP="005A633B">
      <w:pPr>
        <w:pStyle w:val="NormalWeb"/>
        <w:spacing w:before="20" w:after="0" w:line="240" w:lineRule="auto"/>
        <w:ind w:firstLine="709"/>
        <w:jc w:val="both"/>
        <w:rPr>
          <w:sz w:val="28"/>
          <w:szCs w:val="28"/>
        </w:rPr>
      </w:pPr>
      <w:r w:rsidRPr="006412FB">
        <w:rPr>
          <w:sz w:val="28"/>
          <w:szCs w:val="28"/>
        </w:rPr>
        <w:lastRenderedPageBreak/>
        <w:t>Dự thảo Nghị quyết chủ yếu cụ thể hóa các nội dung được Luật Thủ đô giao Hội đồng nhân dân Thành phố quyết định; đồng thời quy định cơ chế phân cấp, phân quyền phù hợp với đặc thù quản lý của thành phố Hà Nội</w:t>
      </w:r>
      <w:r w:rsidR="00A44088" w:rsidRPr="006412FB">
        <w:rPr>
          <w:sz w:val="28"/>
          <w:szCs w:val="28"/>
        </w:rPr>
        <w:t xml:space="preserve">; </w:t>
      </w:r>
      <w:r w:rsidR="00A44088" w:rsidRPr="006412FB">
        <w:rPr>
          <w:sz w:val="28"/>
          <w:szCs w:val="28"/>
          <w:lang w:val="en"/>
        </w:rPr>
        <w:t xml:space="preserve">cụ thể cơ chế tiền lương, thù lao, tiền thưởng đối với </w:t>
      </w:r>
      <w:r w:rsidR="00A44088" w:rsidRPr="006412FB">
        <w:rPr>
          <w:bCs/>
          <w:sz w:val="28"/>
          <w:szCs w:val="28"/>
        </w:rPr>
        <w:t>người đại diện chủ sở hữu trực tiếp, kiểm soát viên tại doanh nghiệp do nhà nước nắm giữ 100% vốn điều lệ và người đại diện vốn nhà nước tại doanh nghiệp có vốn nhà nước thuộc UBND thành phố Hà Nội.</w:t>
      </w:r>
    </w:p>
    <w:p w14:paraId="7A5B624F" w14:textId="77777777" w:rsidR="00F156DC" w:rsidRPr="006412FB" w:rsidRDefault="00F156DC" w:rsidP="005A633B">
      <w:pPr>
        <w:pStyle w:val="NormalWeb"/>
        <w:spacing w:before="20" w:after="0" w:line="240" w:lineRule="auto"/>
        <w:ind w:firstLine="709"/>
        <w:jc w:val="both"/>
        <w:rPr>
          <w:sz w:val="28"/>
          <w:szCs w:val="28"/>
        </w:rPr>
      </w:pPr>
      <w:r w:rsidRPr="006412FB">
        <w:rPr>
          <w:sz w:val="28"/>
          <w:szCs w:val="28"/>
        </w:rPr>
        <w:t>Nội dung dự thảo không chồng chéo, mâu thuẫn với các văn bản quy phạm pháp luật hiện hành; bảo đảm tính thống nhất của hệ thống pháp luật và phù hợp chủ trương phân quyền cho Thủ đô.</w:t>
      </w:r>
    </w:p>
    <w:p w14:paraId="5C9B32A5" w14:textId="421F37DB" w:rsidR="009B3BCD" w:rsidRPr="006412FB" w:rsidRDefault="00F156DC"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 xml:space="preserve">2. </w:t>
      </w:r>
      <w:r w:rsidR="009B3BCD" w:rsidRPr="006412FB">
        <w:rPr>
          <w:rFonts w:ascii="Times New Roman" w:hAnsi="Times New Roman" w:cs="Times New Roman"/>
          <w:color w:val="auto"/>
          <w:sz w:val="28"/>
          <w:szCs w:val="28"/>
        </w:rPr>
        <w:t>Đánh giá tác động về kinh tế</w:t>
      </w:r>
    </w:p>
    <w:p w14:paraId="48F2BF34" w14:textId="77777777" w:rsidR="009B3BCD" w:rsidRPr="006412FB" w:rsidRDefault="009B3BCD" w:rsidP="005A633B">
      <w:pPr>
        <w:pStyle w:val="Heading4"/>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a) Tác động tích cực</w:t>
      </w:r>
    </w:p>
    <w:p w14:paraId="239E10DF" w14:textId="00795280" w:rsidR="009B3BCD" w:rsidRPr="006412FB" w:rsidRDefault="00A44088" w:rsidP="005A633B">
      <w:pPr>
        <w:pStyle w:val="NormalWeb"/>
        <w:spacing w:before="20" w:after="0" w:line="240" w:lineRule="auto"/>
        <w:ind w:firstLine="709"/>
        <w:jc w:val="both"/>
        <w:rPr>
          <w:sz w:val="28"/>
          <w:szCs w:val="28"/>
        </w:rPr>
      </w:pPr>
      <w:r w:rsidRPr="006412FB">
        <w:rPr>
          <w:sz w:val="28"/>
          <w:szCs w:val="28"/>
        </w:rPr>
        <w:t xml:space="preserve">- </w:t>
      </w:r>
      <w:r w:rsidR="009B3BCD" w:rsidRPr="006412FB">
        <w:rPr>
          <w:sz w:val="28"/>
          <w:szCs w:val="28"/>
        </w:rPr>
        <w:t>Việc ban hành Nghị quyết tạo cơ sở để Thành phố</w:t>
      </w:r>
      <w:r w:rsidRPr="006412FB">
        <w:rPr>
          <w:sz w:val="28"/>
          <w:szCs w:val="28"/>
        </w:rPr>
        <w:t xml:space="preserve">: </w:t>
      </w:r>
      <w:r w:rsidR="009B3BCD" w:rsidRPr="006412FB">
        <w:rPr>
          <w:sz w:val="28"/>
          <w:szCs w:val="28"/>
        </w:rPr>
        <w:t>chủ động điều chỉnh cơ cấu doanh nghiệp nhà nước theo hướng tập trung vào các lĩnh vực thiết yếu và chiến lược như: nước sạch, môi trường đô thị, giao thông công cộng, đường sắt đô thị, hạ tầng đô thị, đổi mới sáng tạo và chuyển đổi số</w:t>
      </w:r>
      <w:r w:rsidR="00F156DC" w:rsidRPr="006412FB">
        <w:rPr>
          <w:sz w:val="28"/>
          <w:szCs w:val="28"/>
        </w:rPr>
        <w:t>,</w:t>
      </w:r>
      <w:r w:rsidR="005D441D">
        <w:rPr>
          <w:sz w:val="28"/>
          <w:szCs w:val="28"/>
        </w:rPr>
        <w:t xml:space="preserve"> đầu tư xây dựng phát triển hạ tầng đô thị</w:t>
      </w:r>
      <w:r w:rsidR="00F156DC" w:rsidRPr="006412FB">
        <w:rPr>
          <w:sz w:val="28"/>
          <w:szCs w:val="28"/>
        </w:rPr>
        <w:t>…</w:t>
      </w:r>
      <w:r w:rsidRPr="006412FB">
        <w:rPr>
          <w:sz w:val="28"/>
          <w:szCs w:val="28"/>
        </w:rPr>
        <w:t xml:space="preserve">; </w:t>
      </w:r>
      <w:r w:rsidR="005D441D">
        <w:rPr>
          <w:sz w:val="28"/>
          <w:szCs w:val="28"/>
        </w:rPr>
        <w:t>xây dựng mức</w:t>
      </w:r>
      <w:r w:rsidRPr="006412FB">
        <w:rPr>
          <w:sz w:val="28"/>
          <w:szCs w:val="28"/>
        </w:rPr>
        <w:t xml:space="preserve"> tiền lương, thù lao, tiền thưởng </w:t>
      </w:r>
      <w:r w:rsidR="005D441D">
        <w:rPr>
          <w:sz w:val="28"/>
          <w:szCs w:val="28"/>
        </w:rPr>
        <w:t xml:space="preserve">đặc thù </w:t>
      </w:r>
      <w:r w:rsidRPr="006412FB">
        <w:rPr>
          <w:sz w:val="28"/>
          <w:szCs w:val="28"/>
        </w:rPr>
        <w:t xml:space="preserve">đối với </w:t>
      </w:r>
      <w:r w:rsidRPr="006412FB">
        <w:rPr>
          <w:bCs/>
          <w:sz w:val="28"/>
          <w:szCs w:val="28"/>
        </w:rPr>
        <w:t>người đại diện chủ sở hữu trực tiếp, kiểm soát viên và người đại diện vốn nhà nước tại doanh nghiệp</w:t>
      </w:r>
      <w:r w:rsidR="005D441D">
        <w:rPr>
          <w:bCs/>
          <w:sz w:val="28"/>
          <w:szCs w:val="28"/>
        </w:rPr>
        <w:t xml:space="preserve"> thuộc UBND Thành phố</w:t>
      </w:r>
      <w:r w:rsidRPr="006412FB">
        <w:rPr>
          <w:bCs/>
          <w:sz w:val="28"/>
          <w:szCs w:val="28"/>
        </w:rPr>
        <w:t>.</w:t>
      </w:r>
    </w:p>
    <w:p w14:paraId="01FA12D5" w14:textId="782827B9" w:rsidR="009B3BCD" w:rsidRPr="006412FB" w:rsidRDefault="00A44088" w:rsidP="005A633B">
      <w:pPr>
        <w:pStyle w:val="NormalWeb"/>
        <w:spacing w:before="20" w:after="0" w:line="240" w:lineRule="auto"/>
        <w:ind w:firstLine="709"/>
        <w:jc w:val="both"/>
        <w:rPr>
          <w:spacing w:val="-4"/>
          <w:sz w:val="28"/>
          <w:szCs w:val="28"/>
        </w:rPr>
      </w:pPr>
      <w:r w:rsidRPr="006412FB">
        <w:rPr>
          <w:spacing w:val="-4"/>
          <w:sz w:val="28"/>
          <w:szCs w:val="28"/>
        </w:rPr>
        <w:t xml:space="preserve">- </w:t>
      </w:r>
      <w:r w:rsidR="009B3BCD" w:rsidRPr="006412FB">
        <w:rPr>
          <w:spacing w:val="-4"/>
          <w:sz w:val="28"/>
          <w:szCs w:val="28"/>
        </w:rPr>
        <w:t>Chính sách góp phần nâng cao hiệu quả sử dụng vốn nhà nước thông qua việc:</w:t>
      </w:r>
    </w:p>
    <w:p w14:paraId="1B8B4715" w14:textId="77777777" w:rsidR="005D441D" w:rsidRPr="006412FB" w:rsidRDefault="009B3BCD" w:rsidP="005A633B">
      <w:pPr>
        <w:numPr>
          <w:ilvl w:val="0"/>
          <w:numId w:val="6"/>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Tập trung đầu tư vào doanh nghiệp có vai trò dẫn dắt, tạo động lực tăng trưởng mới;</w:t>
      </w:r>
      <w:r w:rsidR="005D441D">
        <w:rPr>
          <w:rFonts w:ascii="Times New Roman" w:hAnsi="Times New Roman" w:cs="Times New Roman"/>
          <w:sz w:val="28"/>
          <w:szCs w:val="28"/>
        </w:rPr>
        <w:t xml:space="preserve"> </w:t>
      </w:r>
      <w:r w:rsidR="005D441D" w:rsidRPr="006412FB">
        <w:rPr>
          <w:rFonts w:ascii="Times New Roman" w:hAnsi="Times New Roman" w:cs="Times New Roman"/>
          <w:sz w:val="28"/>
          <w:szCs w:val="28"/>
        </w:rPr>
        <w:t>duy trì doanh nghiệp Nhà nước trong các lĩnh vực công ích thiết yếu còn góp phần ổn định thị trường, bảo đảm an sinh xã hội và nâng cao chất lượng dịch vụ đô thị.</w:t>
      </w:r>
    </w:p>
    <w:p w14:paraId="71B1245B" w14:textId="4932A321" w:rsidR="009B3BCD" w:rsidRPr="006412FB" w:rsidRDefault="009B3BCD" w:rsidP="005A633B">
      <w:pPr>
        <w:spacing w:before="20" w:after="0" w:line="240" w:lineRule="auto"/>
        <w:jc w:val="both"/>
        <w:rPr>
          <w:rFonts w:ascii="Times New Roman" w:hAnsi="Times New Roman" w:cs="Times New Roman"/>
          <w:sz w:val="28"/>
          <w:szCs w:val="28"/>
        </w:rPr>
      </w:pPr>
    </w:p>
    <w:p w14:paraId="4EFB9576" w14:textId="77777777" w:rsidR="009B3BCD" w:rsidRPr="006412FB" w:rsidRDefault="009B3BCD" w:rsidP="005A633B">
      <w:pPr>
        <w:numPr>
          <w:ilvl w:val="0"/>
          <w:numId w:val="6"/>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Tinh gọn đầu mối, giảm chi phí quản lý thông qua sáp nhập và cơ cấu lại doanh nghiệp;</w:t>
      </w:r>
    </w:p>
    <w:p w14:paraId="14EB0B17" w14:textId="77777777" w:rsidR="00A44088" w:rsidRPr="006412FB" w:rsidRDefault="009B3BCD" w:rsidP="005A633B">
      <w:pPr>
        <w:numPr>
          <w:ilvl w:val="0"/>
          <w:numId w:val="6"/>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Tăng tính chủ động của Thành phố trong quyết định đầu tư vốn nhà nước, rút ngắn thời gian xử lý thủ tục hành chính.</w:t>
      </w:r>
    </w:p>
    <w:p w14:paraId="09D31DC3" w14:textId="0C7030A0" w:rsidR="00A44088" w:rsidRPr="005D441D" w:rsidRDefault="00A44088" w:rsidP="005A633B">
      <w:pPr>
        <w:numPr>
          <w:ilvl w:val="0"/>
          <w:numId w:val="6"/>
        </w:numPr>
        <w:spacing w:before="20" w:after="0" w:line="240" w:lineRule="auto"/>
        <w:ind w:firstLine="709"/>
        <w:jc w:val="both"/>
        <w:rPr>
          <w:rFonts w:ascii="Times New Roman" w:hAnsi="Times New Roman" w:cs="Times New Roman"/>
          <w:sz w:val="28"/>
          <w:szCs w:val="28"/>
        </w:rPr>
      </w:pPr>
      <w:r w:rsidRPr="005D441D">
        <w:rPr>
          <w:rFonts w:ascii="Times New Roman" w:hAnsi="Times New Roman" w:cs="Times New Roman"/>
          <w:sz w:val="28"/>
          <w:szCs w:val="28"/>
          <w:lang w:val="en"/>
        </w:rPr>
        <w:t xml:space="preserve">Chính sách góp phần nâng cao trách nhiệm đối với </w:t>
      </w:r>
      <w:r w:rsidRPr="005D441D">
        <w:rPr>
          <w:rFonts w:ascii="Times New Roman" w:hAnsi="Times New Roman" w:cs="Times New Roman"/>
          <w:bCs/>
          <w:sz w:val="28"/>
          <w:szCs w:val="28"/>
        </w:rPr>
        <w:t>người đại diện chủ sở hữu trực tiếp, kiểm soát viên và người đại diện vốn nhà nước tại doanh nghiệp khi quản lý, điều hành và giám sát doanh nghiệp</w:t>
      </w:r>
    </w:p>
    <w:p w14:paraId="57DE64F0" w14:textId="34EE2F91" w:rsidR="00A44088" w:rsidRPr="006412FB" w:rsidRDefault="00A44088" w:rsidP="005A633B">
      <w:pPr>
        <w:autoSpaceDE w:val="0"/>
        <w:autoSpaceDN w:val="0"/>
        <w:adjustRightInd w:val="0"/>
        <w:spacing w:before="20" w:after="0" w:line="240" w:lineRule="auto"/>
        <w:ind w:firstLine="709"/>
        <w:jc w:val="both"/>
        <w:rPr>
          <w:rFonts w:ascii="Times New Roman" w:hAnsi="Times New Roman" w:cs="Times New Roman"/>
          <w:sz w:val="28"/>
          <w:szCs w:val="28"/>
          <w:lang w:val="vi-VN"/>
        </w:rPr>
      </w:pPr>
      <w:r w:rsidRPr="006412FB">
        <w:rPr>
          <w:rFonts w:ascii="Times New Roman" w:hAnsi="Times New Roman" w:cs="Times New Roman"/>
          <w:sz w:val="28"/>
          <w:szCs w:val="28"/>
          <w:lang w:val="en"/>
        </w:rPr>
        <w:t>- Là cơ sở để tinh gọn đầu mối, giảm chi phí quản lý thông qua sáp nhập và c</w:t>
      </w:r>
      <w:r w:rsidRPr="006412FB">
        <w:rPr>
          <w:rFonts w:ascii="Times New Roman" w:hAnsi="Times New Roman" w:cs="Times New Roman"/>
          <w:sz w:val="28"/>
          <w:szCs w:val="28"/>
          <w:lang w:val="vi-VN"/>
        </w:rPr>
        <w:t>ơ cấu lại doanh nghiệp</w:t>
      </w:r>
      <w:r w:rsidRPr="006412FB">
        <w:rPr>
          <w:rFonts w:ascii="Times New Roman" w:hAnsi="Times New Roman" w:cs="Times New Roman"/>
          <w:sz w:val="28"/>
          <w:szCs w:val="28"/>
        </w:rPr>
        <w:t>.</w:t>
      </w:r>
    </w:p>
    <w:p w14:paraId="18126BD2" w14:textId="77777777" w:rsidR="009B3BCD" w:rsidRPr="006412FB" w:rsidRDefault="009B3BCD" w:rsidP="005A633B">
      <w:pPr>
        <w:pStyle w:val="Heading4"/>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b) Tác động tiêu cực và chi phí tuân thủ</w:t>
      </w:r>
    </w:p>
    <w:p w14:paraId="15BF0A05" w14:textId="77777777" w:rsidR="009B3BCD" w:rsidRPr="006412FB" w:rsidRDefault="009B3BCD" w:rsidP="005A633B">
      <w:pPr>
        <w:pStyle w:val="NormalWeb"/>
        <w:spacing w:before="20" w:after="0" w:line="240" w:lineRule="auto"/>
        <w:ind w:firstLine="709"/>
        <w:jc w:val="both"/>
        <w:rPr>
          <w:sz w:val="28"/>
          <w:szCs w:val="28"/>
        </w:rPr>
      </w:pPr>
      <w:r w:rsidRPr="006412FB">
        <w:rPr>
          <w:sz w:val="28"/>
          <w:szCs w:val="28"/>
        </w:rPr>
        <w:t>Việc cơ cấu lại doanh nghiệp, thoái vốn, sáp nhập có thể phát sinh chi phí tổ chức thực hiện; chi phí xử lý tài chính, lao động, tài sản và các nghĩa vụ liên quan. Một số doanh nghiệp phải điều chỉnh mô hình hoạt động, sắp xếp lại nhân sự và thay đổi phương thức quản trị.</w:t>
      </w:r>
    </w:p>
    <w:p w14:paraId="5CF0142B" w14:textId="10670FC0" w:rsidR="009B3BCD" w:rsidRPr="006412FB" w:rsidRDefault="009B3BCD" w:rsidP="005A633B">
      <w:pPr>
        <w:pStyle w:val="NormalWeb"/>
        <w:spacing w:before="20" w:after="0" w:line="240" w:lineRule="auto"/>
        <w:ind w:firstLine="709"/>
        <w:jc w:val="both"/>
        <w:rPr>
          <w:sz w:val="28"/>
          <w:szCs w:val="28"/>
        </w:rPr>
      </w:pPr>
      <w:r w:rsidRPr="006412FB">
        <w:rPr>
          <w:sz w:val="28"/>
          <w:szCs w:val="28"/>
        </w:rPr>
        <w:t>Tuy nhiên, các tác động này mang tính ngắn hạn và được kiểm soát thông qua lộ trình triển khai phù hợp, bảo đảm ổn định hoạt động của doanh nghiệp và quyền lợi của người lao động.</w:t>
      </w:r>
    </w:p>
    <w:p w14:paraId="4A67AFBD" w14:textId="4EE56573" w:rsidR="00A44088" w:rsidRPr="006412FB" w:rsidRDefault="00A44088" w:rsidP="005A633B">
      <w:pPr>
        <w:autoSpaceDE w:val="0"/>
        <w:autoSpaceDN w:val="0"/>
        <w:adjustRightInd w:val="0"/>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lang w:val="en"/>
        </w:rPr>
        <w:t xml:space="preserve">Việc nâng mức tiền lương, thù lao, tiền thưởng đối với </w:t>
      </w:r>
      <w:r w:rsidRPr="006412FB">
        <w:rPr>
          <w:rFonts w:ascii="Times New Roman" w:hAnsi="Times New Roman" w:cs="Times New Roman"/>
          <w:bCs/>
          <w:sz w:val="28"/>
          <w:szCs w:val="28"/>
        </w:rPr>
        <w:t xml:space="preserve">người đại diện chủ sở hữu trực tiếp, kiểm soát viên và người đại diện vốn nhà nước tại doanh nghiệp </w:t>
      </w:r>
      <w:r w:rsidRPr="006412FB">
        <w:rPr>
          <w:rFonts w:ascii="Times New Roman" w:hAnsi="Times New Roman" w:cs="Times New Roman"/>
          <w:sz w:val="28"/>
          <w:szCs w:val="28"/>
          <w:lang w:val="vi-VN"/>
        </w:rPr>
        <w:lastRenderedPageBreak/>
        <w:t xml:space="preserve">có thể phát sinh </w:t>
      </w:r>
      <w:r w:rsidRPr="006412FB">
        <w:rPr>
          <w:rFonts w:ascii="Times New Roman" w:hAnsi="Times New Roman" w:cs="Times New Roman"/>
          <w:sz w:val="28"/>
          <w:szCs w:val="28"/>
        </w:rPr>
        <w:t xml:space="preserve">tăng </w:t>
      </w:r>
      <w:r w:rsidRPr="006412FB">
        <w:rPr>
          <w:rFonts w:ascii="Times New Roman" w:hAnsi="Times New Roman" w:cs="Times New Roman"/>
          <w:sz w:val="28"/>
          <w:szCs w:val="28"/>
          <w:lang w:val="vi-VN"/>
        </w:rPr>
        <w:t xml:space="preserve">chi phí </w:t>
      </w:r>
      <w:r w:rsidRPr="006412FB">
        <w:rPr>
          <w:rFonts w:ascii="Times New Roman" w:hAnsi="Times New Roman" w:cs="Times New Roman"/>
          <w:sz w:val="28"/>
          <w:szCs w:val="28"/>
        </w:rPr>
        <w:t xml:space="preserve">trong hoạt động sản xuất kinh doanh của doanh nghiệp. </w:t>
      </w:r>
      <w:r w:rsidRPr="006412FB">
        <w:rPr>
          <w:rFonts w:ascii="Times New Roman" w:hAnsi="Times New Roman" w:cs="Times New Roman"/>
          <w:sz w:val="28"/>
          <w:szCs w:val="28"/>
          <w:lang w:val="en"/>
        </w:rPr>
        <w:t>Tuy nhiên, các tác động này được kiểm soát thông qua lộ trình triển khai phù hợp, bảo đảm ổn định hoạt động của doanh nghiệp, và đây cũng chỉ là mức tối đa cho phép, khi doanh nghiệp quyết định chi trả tiền lương, thù lao, tiền thưởng còn phụ thuộc vào các yếu tố tài chính liên quan như vốn, doanh thu, lợi nhuận, nộp ngân sách, năng suất lao động</w:t>
      </w:r>
      <w:r w:rsidRPr="006412FB">
        <w:rPr>
          <w:rFonts w:ascii="Times New Roman" w:hAnsi="Times New Roman" w:cs="Times New Roman"/>
          <w:sz w:val="28"/>
          <w:szCs w:val="28"/>
        </w:rPr>
        <w:t>.</w:t>
      </w:r>
    </w:p>
    <w:p w14:paraId="014291DD" w14:textId="11D230A4" w:rsidR="009B3BCD" w:rsidRPr="006412FB" w:rsidRDefault="00FC7244"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3</w:t>
      </w:r>
      <w:r w:rsidR="009B3BCD" w:rsidRPr="006412FB">
        <w:rPr>
          <w:rFonts w:ascii="Times New Roman" w:hAnsi="Times New Roman" w:cs="Times New Roman"/>
          <w:color w:val="auto"/>
          <w:sz w:val="28"/>
          <w:szCs w:val="28"/>
        </w:rPr>
        <w:t>. Đánh giá tác động về xã hội</w:t>
      </w:r>
    </w:p>
    <w:p w14:paraId="71E26F66" w14:textId="77777777" w:rsidR="009B3BCD" w:rsidRPr="006412FB" w:rsidRDefault="009B3BCD" w:rsidP="005A633B">
      <w:pPr>
        <w:pStyle w:val="Heading4"/>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a) Tác động tích cực</w:t>
      </w:r>
    </w:p>
    <w:p w14:paraId="16D88B07" w14:textId="77777777" w:rsidR="009B3BCD" w:rsidRPr="006412FB" w:rsidRDefault="009B3BCD" w:rsidP="005A633B">
      <w:pPr>
        <w:pStyle w:val="NormalWeb"/>
        <w:spacing w:before="20" w:after="0" w:line="240" w:lineRule="auto"/>
        <w:ind w:firstLine="709"/>
        <w:jc w:val="both"/>
        <w:rPr>
          <w:sz w:val="28"/>
          <w:szCs w:val="28"/>
        </w:rPr>
      </w:pPr>
      <w:r w:rsidRPr="006412FB">
        <w:rPr>
          <w:sz w:val="28"/>
          <w:szCs w:val="28"/>
        </w:rPr>
        <w:t>Nghị quyết góp phần bảo đảm duy trì ổn định các dịch vụ công ích thiết yếu phục vụ người dân Thủ đô như cấp nước sạch, thoát nước, môi trường, vận tải hành khách công cộng và quản lý hạ tầng đô thị.</w:t>
      </w:r>
    </w:p>
    <w:p w14:paraId="0C5A4B03" w14:textId="7D254482" w:rsidR="009B3BCD" w:rsidRPr="006412FB" w:rsidRDefault="009B3BCD" w:rsidP="005A633B">
      <w:pPr>
        <w:pStyle w:val="NormalWeb"/>
        <w:spacing w:before="20" w:after="0" w:line="240" w:lineRule="auto"/>
        <w:ind w:firstLine="709"/>
        <w:jc w:val="both"/>
        <w:rPr>
          <w:sz w:val="28"/>
          <w:szCs w:val="28"/>
        </w:rPr>
      </w:pPr>
      <w:r w:rsidRPr="006412FB">
        <w:rPr>
          <w:sz w:val="28"/>
          <w:szCs w:val="28"/>
        </w:rPr>
        <w:t>Việc tập trung đầu tư vào các doanh nghiệp đổi mới sáng tạo, công nghệ cao, chuyển đổi số sẽ thúc đẩy phát triển kinh tế số, tạo việc làm chất lượng cao và nâng cao năng lực cạnh tranh của Thủ đô.</w:t>
      </w:r>
    </w:p>
    <w:p w14:paraId="4BBEC865" w14:textId="77777777" w:rsidR="00A44088" w:rsidRPr="006412FB" w:rsidRDefault="00A44088" w:rsidP="005A633B">
      <w:pPr>
        <w:autoSpaceDE w:val="0"/>
        <w:autoSpaceDN w:val="0"/>
        <w:adjustRightInd w:val="0"/>
        <w:spacing w:before="20" w:after="0" w:line="240" w:lineRule="auto"/>
        <w:ind w:firstLine="709"/>
        <w:jc w:val="both"/>
        <w:rPr>
          <w:rFonts w:ascii="Times New Roman" w:hAnsi="Times New Roman" w:cs="Times New Roman"/>
          <w:bCs/>
          <w:sz w:val="28"/>
          <w:szCs w:val="28"/>
        </w:rPr>
      </w:pPr>
      <w:r w:rsidRPr="006412FB">
        <w:rPr>
          <w:rFonts w:ascii="Times New Roman" w:hAnsi="Times New Roman" w:cs="Times New Roman"/>
          <w:sz w:val="28"/>
          <w:szCs w:val="28"/>
          <w:lang w:val="en"/>
        </w:rPr>
        <w:t xml:space="preserve">Nghị quyết góp phần bảo đảm quyền lợi đối với </w:t>
      </w:r>
      <w:r w:rsidRPr="006412FB">
        <w:rPr>
          <w:rFonts w:ascii="Times New Roman" w:hAnsi="Times New Roman" w:cs="Times New Roman"/>
          <w:bCs/>
          <w:sz w:val="28"/>
          <w:szCs w:val="28"/>
        </w:rPr>
        <w:t>người đại diện chủ sở hữu trực tiếp, kiểm soát viên và người đại diện vốn nhà nước tại doanh nghiệp nhưng cũng gắn với trách nhiệm quản lý điều hành giám sát.</w:t>
      </w:r>
    </w:p>
    <w:p w14:paraId="147E9157" w14:textId="569A7E89" w:rsidR="00A44088" w:rsidRPr="006412FB" w:rsidRDefault="009B3BCD" w:rsidP="005A633B">
      <w:pPr>
        <w:pStyle w:val="NormalWeb"/>
        <w:spacing w:before="20" w:after="0" w:line="240" w:lineRule="auto"/>
        <w:ind w:firstLine="709"/>
        <w:jc w:val="both"/>
        <w:rPr>
          <w:sz w:val="28"/>
          <w:szCs w:val="28"/>
        </w:rPr>
      </w:pPr>
      <w:r w:rsidRPr="006412FB">
        <w:rPr>
          <w:sz w:val="28"/>
          <w:szCs w:val="28"/>
        </w:rPr>
        <w:t>Đồng thời, việc nâng cao hiệu quả hoạt động của doanh nghiệp nhà nước sẽ góp phần sử dụng hiệu quả nguồn lực công, nâng cao chất lượng phục vụ người dân và doanh nghiệp.</w:t>
      </w:r>
    </w:p>
    <w:p w14:paraId="32F3E74F" w14:textId="77777777" w:rsidR="009B3BCD" w:rsidRPr="006412FB" w:rsidRDefault="009B3BCD" w:rsidP="005A633B">
      <w:pPr>
        <w:pStyle w:val="Heading4"/>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b) Tác động tiêu cực</w:t>
      </w:r>
    </w:p>
    <w:p w14:paraId="51FD7F37" w14:textId="56651154" w:rsidR="009B3BCD" w:rsidRPr="006412FB" w:rsidRDefault="00A44088" w:rsidP="005A633B">
      <w:pPr>
        <w:pStyle w:val="NormalWeb"/>
        <w:spacing w:before="20" w:after="0" w:line="240" w:lineRule="auto"/>
        <w:ind w:firstLine="709"/>
        <w:jc w:val="both"/>
        <w:rPr>
          <w:spacing w:val="-4"/>
          <w:sz w:val="28"/>
          <w:szCs w:val="28"/>
        </w:rPr>
      </w:pPr>
      <w:r w:rsidRPr="006412FB">
        <w:rPr>
          <w:spacing w:val="-4"/>
          <w:sz w:val="28"/>
          <w:szCs w:val="28"/>
        </w:rPr>
        <w:t xml:space="preserve">- </w:t>
      </w:r>
      <w:r w:rsidR="009B3BCD" w:rsidRPr="006412FB">
        <w:rPr>
          <w:spacing w:val="-4"/>
          <w:sz w:val="28"/>
          <w:szCs w:val="28"/>
        </w:rPr>
        <w:t>Quá trình sắp xếp, sáp nhập, thoái vốn có thể tác động đến một bộ phận người lao động do thay đổi tổ chức, vị trí việc làm hoặc phương án sử dụng lao động.</w:t>
      </w:r>
    </w:p>
    <w:p w14:paraId="566AA81E" w14:textId="7E56AEE2" w:rsidR="009B3BCD" w:rsidRPr="006412FB" w:rsidRDefault="009B3BCD" w:rsidP="005A633B">
      <w:pPr>
        <w:pStyle w:val="NormalWeb"/>
        <w:spacing w:before="20" w:after="0" w:line="240" w:lineRule="auto"/>
        <w:ind w:firstLine="709"/>
        <w:jc w:val="both"/>
        <w:rPr>
          <w:sz w:val="28"/>
          <w:szCs w:val="28"/>
        </w:rPr>
      </w:pPr>
      <w:r w:rsidRPr="006412FB">
        <w:rPr>
          <w:sz w:val="28"/>
          <w:szCs w:val="28"/>
        </w:rPr>
        <w:t>Tuy nhiên, việc thực hiện sẽ tuân thủ đầy đủ quy định pháp luật về lao động, bảo hiểm xã hội và các chế độ, chính sách có liên quan; đồng thời được triển khai theo lộ trình phù hợp nhằm hạn chế tối đa tác động xã hội phát sinh.</w:t>
      </w:r>
    </w:p>
    <w:p w14:paraId="0E3F3F7D" w14:textId="77777777" w:rsidR="00A44088" w:rsidRPr="006412FB" w:rsidRDefault="00A44088" w:rsidP="005A633B">
      <w:pPr>
        <w:autoSpaceDE w:val="0"/>
        <w:autoSpaceDN w:val="0"/>
        <w:adjustRightInd w:val="0"/>
        <w:spacing w:before="20" w:after="0" w:line="240" w:lineRule="auto"/>
        <w:ind w:firstLine="709"/>
        <w:jc w:val="both"/>
        <w:rPr>
          <w:rFonts w:ascii="Times New Roman" w:hAnsi="Times New Roman" w:cs="Times New Roman"/>
          <w:sz w:val="28"/>
          <w:szCs w:val="28"/>
          <w:lang w:val="vi-VN"/>
        </w:rPr>
      </w:pPr>
      <w:r w:rsidRPr="006412FB">
        <w:rPr>
          <w:rFonts w:ascii="Times New Roman" w:hAnsi="Times New Roman" w:cs="Times New Roman"/>
          <w:sz w:val="28"/>
          <w:szCs w:val="28"/>
        </w:rPr>
        <w:t xml:space="preserve">- </w:t>
      </w:r>
      <w:r w:rsidRPr="006412FB">
        <w:rPr>
          <w:rFonts w:ascii="Times New Roman" w:hAnsi="Times New Roman" w:cs="Times New Roman"/>
          <w:sz w:val="28"/>
          <w:szCs w:val="28"/>
          <w:lang w:val="en"/>
        </w:rPr>
        <w:t xml:space="preserve">Có sự chênh lệch về tiền lương giữa </w:t>
      </w:r>
      <w:r w:rsidRPr="006412FB">
        <w:rPr>
          <w:rFonts w:ascii="Times New Roman" w:hAnsi="Times New Roman" w:cs="Times New Roman"/>
          <w:bCs/>
          <w:sz w:val="28"/>
          <w:szCs w:val="28"/>
        </w:rPr>
        <w:t>người đại diện chủ sở hữu trực tiếp, kiểm soát viên và người đại diện vốn nhà nước tại doanh nghiệp với người lao động trong doanh nghiêp</w:t>
      </w:r>
      <w:r w:rsidRPr="006412FB">
        <w:rPr>
          <w:rFonts w:ascii="Times New Roman" w:hAnsi="Times New Roman" w:cs="Times New Roman"/>
          <w:sz w:val="28"/>
          <w:szCs w:val="28"/>
          <w:lang w:val="vi-VN"/>
        </w:rPr>
        <w:t>.</w:t>
      </w:r>
    </w:p>
    <w:p w14:paraId="2B735E2D" w14:textId="77777777" w:rsidR="00A44088" w:rsidRPr="006412FB" w:rsidRDefault="00A44088" w:rsidP="005A633B">
      <w:pPr>
        <w:autoSpaceDE w:val="0"/>
        <w:autoSpaceDN w:val="0"/>
        <w:adjustRightInd w:val="0"/>
        <w:spacing w:before="20" w:after="0" w:line="240" w:lineRule="auto"/>
        <w:ind w:firstLine="709"/>
        <w:jc w:val="both"/>
        <w:rPr>
          <w:rFonts w:ascii="Times New Roman" w:hAnsi="Times New Roman" w:cs="Times New Roman"/>
          <w:sz w:val="28"/>
          <w:szCs w:val="28"/>
          <w:lang w:val="en"/>
        </w:rPr>
      </w:pPr>
      <w:r w:rsidRPr="006412FB">
        <w:rPr>
          <w:rFonts w:ascii="Times New Roman" w:hAnsi="Times New Roman" w:cs="Times New Roman"/>
          <w:sz w:val="28"/>
          <w:szCs w:val="28"/>
          <w:lang w:val="en"/>
        </w:rPr>
        <w:t>Tuy nhiên, việc thực hiện sẽ nâng cao trách nhiệm của người quản lý điều hành giám sát doanh nghiệp, từ đó hoạt động sản xuất kinh doanh của doanh nghiệp sẽ khởi sắc.</w:t>
      </w:r>
    </w:p>
    <w:p w14:paraId="54C05A5E" w14:textId="77777777" w:rsidR="009B3BCD" w:rsidRPr="006412FB" w:rsidRDefault="009B3BCD"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4. Đánh giá tác động về thủ tục hành chính</w:t>
      </w:r>
    </w:p>
    <w:p w14:paraId="7257AF52" w14:textId="683C37AC" w:rsidR="009B3BCD" w:rsidRPr="006412FB" w:rsidRDefault="009B3BCD" w:rsidP="005A633B">
      <w:pPr>
        <w:pStyle w:val="NormalWeb"/>
        <w:spacing w:before="20" w:after="0" w:line="240" w:lineRule="auto"/>
        <w:ind w:firstLine="709"/>
        <w:jc w:val="both"/>
        <w:rPr>
          <w:sz w:val="28"/>
          <w:szCs w:val="28"/>
        </w:rPr>
      </w:pPr>
      <w:r w:rsidRPr="006412FB">
        <w:rPr>
          <w:sz w:val="28"/>
          <w:szCs w:val="28"/>
        </w:rPr>
        <w:t>Nghị quyết quy định cụ thể thẩm quyền, trình tự, thủ tục đầu tư vốn nhà nước vào doanh nghiệp, qua đó:</w:t>
      </w:r>
    </w:p>
    <w:p w14:paraId="28EDE190" w14:textId="77777777" w:rsidR="009B3BCD" w:rsidRPr="006412FB" w:rsidRDefault="009B3BCD" w:rsidP="005A633B">
      <w:pPr>
        <w:numPr>
          <w:ilvl w:val="0"/>
          <w:numId w:val="2"/>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Rút ngắn thời gian xử lý hồ sơ;</w:t>
      </w:r>
    </w:p>
    <w:p w14:paraId="48F3260E" w14:textId="77777777" w:rsidR="009B3BCD" w:rsidRPr="006412FB" w:rsidRDefault="009B3BCD" w:rsidP="005A633B">
      <w:pPr>
        <w:numPr>
          <w:ilvl w:val="0"/>
          <w:numId w:val="2"/>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Giảm tầng nấc trung gian trong quá trình quyết định đầu tư vốn;</w:t>
      </w:r>
    </w:p>
    <w:p w14:paraId="3307D1A3" w14:textId="5B9BBC30" w:rsidR="009B3BCD" w:rsidRPr="006412FB" w:rsidRDefault="009B3BCD" w:rsidP="005A633B">
      <w:pPr>
        <w:numPr>
          <w:ilvl w:val="0"/>
          <w:numId w:val="2"/>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Tăng tính chủ động cho UBND Thành phố</w:t>
      </w:r>
      <w:r w:rsidR="00FC7244" w:rsidRPr="006412FB">
        <w:rPr>
          <w:rFonts w:ascii="Times New Roman" w:hAnsi="Times New Roman" w:cs="Times New Roman"/>
          <w:sz w:val="28"/>
          <w:szCs w:val="28"/>
        </w:rPr>
        <w:t>, Sở ban ngành</w:t>
      </w:r>
      <w:r w:rsidRPr="006412FB">
        <w:rPr>
          <w:rFonts w:ascii="Times New Roman" w:hAnsi="Times New Roman" w:cs="Times New Roman"/>
          <w:sz w:val="28"/>
          <w:szCs w:val="28"/>
        </w:rPr>
        <w:t xml:space="preserve"> và doanh nghiệp;</w:t>
      </w:r>
      <w:r w:rsidR="00FC7244" w:rsidRPr="006412FB">
        <w:rPr>
          <w:rFonts w:ascii="Times New Roman" w:hAnsi="Times New Roman" w:cs="Times New Roman"/>
          <w:sz w:val="28"/>
          <w:szCs w:val="28"/>
        </w:rPr>
        <w:t xml:space="preserve"> Việc quy định rõ trách nhiệm của Sở Nội vụ, Sở Tài chính và các cơ quan liên quan sẽ góp phần nâng cao hiệu quả phối hợp và minh bạch trong quá trình xử lý thủ tục.</w:t>
      </w:r>
    </w:p>
    <w:p w14:paraId="0300E9C3" w14:textId="49454A1F" w:rsidR="00A44088" w:rsidRPr="006412FB" w:rsidRDefault="009B3BCD" w:rsidP="005A633B">
      <w:pPr>
        <w:numPr>
          <w:ilvl w:val="0"/>
          <w:numId w:val="2"/>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Nâng cao trách nhiệm của các cơ quan tham mưu và người đại diện phần vốn nhà nước.</w:t>
      </w:r>
    </w:p>
    <w:p w14:paraId="62DE0572" w14:textId="77777777" w:rsidR="009B3BCD" w:rsidRPr="006412FB" w:rsidRDefault="009B3BCD"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lastRenderedPageBreak/>
        <w:t>5. Đánh giá tác động đối với ngân sách nhà nước</w:t>
      </w:r>
    </w:p>
    <w:p w14:paraId="7A83C678" w14:textId="77777777" w:rsidR="009B3BCD" w:rsidRPr="006412FB" w:rsidRDefault="009B3BCD" w:rsidP="005A633B">
      <w:pPr>
        <w:pStyle w:val="NormalWeb"/>
        <w:spacing w:before="20" w:after="0" w:line="240" w:lineRule="auto"/>
        <w:ind w:firstLine="709"/>
        <w:jc w:val="both"/>
        <w:rPr>
          <w:sz w:val="28"/>
          <w:szCs w:val="28"/>
        </w:rPr>
      </w:pPr>
      <w:r w:rsidRPr="006412FB">
        <w:rPr>
          <w:sz w:val="28"/>
          <w:szCs w:val="28"/>
        </w:rPr>
        <w:t>Nghị quyết không làm phát sinh cơ chế chi ngân sách mới ngoài phạm vi quy định của pháp luật hiện hành.</w:t>
      </w:r>
    </w:p>
    <w:p w14:paraId="2C61E48D" w14:textId="3A36A1E8" w:rsidR="009B3BCD" w:rsidRPr="006412FB" w:rsidRDefault="009B3BCD" w:rsidP="005A633B">
      <w:pPr>
        <w:pStyle w:val="NormalWeb"/>
        <w:spacing w:before="20" w:after="0" w:line="240" w:lineRule="auto"/>
        <w:ind w:firstLine="709"/>
        <w:jc w:val="both"/>
        <w:rPr>
          <w:sz w:val="28"/>
          <w:szCs w:val="28"/>
        </w:rPr>
      </w:pPr>
      <w:r w:rsidRPr="006412FB">
        <w:rPr>
          <w:sz w:val="28"/>
          <w:szCs w:val="28"/>
        </w:rPr>
        <w:t>Việc đầu tư vốn nhà nước được thực hiện trên cơ sở cân đối ngân sách địa phương, các quỹ và các nguồn vốn hợp pháp khác theo quy định.</w:t>
      </w:r>
    </w:p>
    <w:p w14:paraId="4289D1E9" w14:textId="77777777" w:rsidR="009B3BCD" w:rsidRPr="006412FB" w:rsidRDefault="009B3BCD" w:rsidP="005A633B">
      <w:pPr>
        <w:pStyle w:val="NormalWeb"/>
        <w:spacing w:before="20" w:after="0" w:line="240" w:lineRule="auto"/>
        <w:ind w:firstLine="709"/>
        <w:jc w:val="both"/>
        <w:rPr>
          <w:sz w:val="28"/>
          <w:szCs w:val="28"/>
        </w:rPr>
      </w:pPr>
      <w:r w:rsidRPr="006412FB">
        <w:rPr>
          <w:sz w:val="28"/>
          <w:szCs w:val="28"/>
        </w:rPr>
        <w:t>Về lâu dài, việc cơ cấu lại doanh nghiệp, thoái vốn tại các doanh nghiệp không cần Nhà nước nắm giữ sẽ góp phần tăng hiệu quả sử dụng vốn nhà nước, tăng nguồn thu cho ngân sách và giảm áp lực hỗ trợ từ ngân sách đối với các doanh nghiệp hoạt động kém hiệu quả.</w:t>
      </w:r>
    </w:p>
    <w:p w14:paraId="19106534" w14:textId="2646C916" w:rsidR="009B3BCD" w:rsidRPr="006412FB" w:rsidRDefault="00FC7244" w:rsidP="005A633B">
      <w:pPr>
        <w:pStyle w:val="Heading2"/>
        <w:spacing w:before="20" w:beforeAutospacing="0" w:after="0" w:afterAutospacing="0"/>
        <w:ind w:firstLine="709"/>
        <w:jc w:val="both"/>
        <w:rPr>
          <w:b w:val="0"/>
          <w:bCs w:val="0"/>
          <w:sz w:val="28"/>
          <w:szCs w:val="28"/>
        </w:rPr>
      </w:pPr>
      <w:r w:rsidRPr="006412FB">
        <w:rPr>
          <w:b w:val="0"/>
          <w:bCs w:val="0"/>
          <w:sz w:val="28"/>
          <w:szCs w:val="28"/>
        </w:rPr>
        <w:t>6. Đánh giá tác động đối với doanh nghiệp</w:t>
      </w:r>
    </w:p>
    <w:p w14:paraId="2507488B" w14:textId="7615C291" w:rsidR="009B3BCD" w:rsidRPr="006412FB" w:rsidRDefault="00FC7244"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a)</w:t>
      </w:r>
      <w:r w:rsidR="009B3BCD" w:rsidRPr="006412FB">
        <w:rPr>
          <w:rFonts w:ascii="Times New Roman" w:hAnsi="Times New Roman" w:cs="Times New Roman"/>
          <w:color w:val="auto"/>
          <w:sz w:val="28"/>
          <w:szCs w:val="28"/>
        </w:rPr>
        <w:t xml:space="preserve"> Tác động tích cực</w:t>
      </w:r>
    </w:p>
    <w:p w14:paraId="2376CF5E" w14:textId="77777777" w:rsidR="009B3BCD" w:rsidRPr="006412FB" w:rsidRDefault="009B3BCD" w:rsidP="005A633B">
      <w:pPr>
        <w:numPr>
          <w:ilvl w:val="0"/>
          <w:numId w:val="7"/>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Tạo cơ chế pháp lý rõ ràng cho doanh nghiệp có vốn nhà nước hoạt động ổn định, minh bạch;</w:t>
      </w:r>
    </w:p>
    <w:p w14:paraId="1FFE1EF2" w14:textId="77777777" w:rsidR="009B3BCD" w:rsidRPr="006412FB" w:rsidRDefault="009B3BCD" w:rsidP="005A633B">
      <w:pPr>
        <w:numPr>
          <w:ilvl w:val="0"/>
          <w:numId w:val="7"/>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Nâng cao tính chủ động trong huy động, sử dụng và bổ sung vốn;</w:t>
      </w:r>
    </w:p>
    <w:p w14:paraId="72F5DC90" w14:textId="77777777" w:rsidR="009B3BCD" w:rsidRPr="006412FB" w:rsidRDefault="009B3BCD" w:rsidP="005A633B">
      <w:pPr>
        <w:numPr>
          <w:ilvl w:val="0"/>
          <w:numId w:val="7"/>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Tạo điều kiện cho doanh nghiệp tập trung nguồn lực đầu tư vào lĩnh vực trọng tâm, chiến lược;</w:t>
      </w:r>
    </w:p>
    <w:p w14:paraId="12BE7200" w14:textId="77777777" w:rsidR="006412FB" w:rsidRPr="006412FB" w:rsidRDefault="009B3BCD" w:rsidP="005A633B">
      <w:pPr>
        <w:numPr>
          <w:ilvl w:val="0"/>
          <w:numId w:val="7"/>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Nâng cao hiệu quả quản trị doanh nghiệp và trách nhiệm của người đại diện phần vốn nhà nước.</w:t>
      </w:r>
    </w:p>
    <w:p w14:paraId="0D0D9F6D" w14:textId="6FA456D5" w:rsidR="006412FB" w:rsidRPr="006412FB" w:rsidRDefault="006412FB" w:rsidP="005A633B">
      <w:pPr>
        <w:numPr>
          <w:ilvl w:val="0"/>
          <w:numId w:val="7"/>
        </w:numPr>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 xml:space="preserve">Quy định cơ chế chi trả tiền lương, thù lao đặc thù của Thành phố góp phần nâng cao hiệu quả </w:t>
      </w:r>
      <w:r w:rsidRPr="006412FB">
        <w:rPr>
          <w:rFonts w:ascii="Times New Roman" w:hAnsi="Times New Roman" w:cs="Times New Roman"/>
          <w:sz w:val="28"/>
          <w:szCs w:val="28"/>
          <w:lang w:val="en"/>
        </w:rPr>
        <w:t xml:space="preserve">Hoạt động sản xuất kinh doanh của doanh nghiệp, nâng cao hiệu quả quản trị doanh nghiệp và trách nhiệm </w:t>
      </w:r>
      <w:r w:rsidRPr="006412FB">
        <w:rPr>
          <w:rFonts w:ascii="Times New Roman" w:hAnsi="Times New Roman" w:cs="Times New Roman"/>
          <w:bCs/>
          <w:sz w:val="28"/>
          <w:szCs w:val="28"/>
        </w:rPr>
        <w:t>người đại diện chủ sở hữu trực tiếp, kiểm soát viên và người đại diện vốn nhà nước tại doanh nghiệp.</w:t>
      </w:r>
    </w:p>
    <w:p w14:paraId="01E7A7AC" w14:textId="0BA36762" w:rsidR="009B3BCD" w:rsidRPr="006412FB" w:rsidRDefault="00FC7244" w:rsidP="005A633B">
      <w:pPr>
        <w:pStyle w:val="Heading3"/>
        <w:spacing w:before="20" w:line="240" w:lineRule="auto"/>
        <w:ind w:firstLine="709"/>
        <w:jc w:val="both"/>
        <w:rPr>
          <w:rFonts w:ascii="Times New Roman" w:hAnsi="Times New Roman" w:cs="Times New Roman"/>
          <w:color w:val="auto"/>
          <w:sz w:val="28"/>
          <w:szCs w:val="28"/>
        </w:rPr>
      </w:pPr>
      <w:r w:rsidRPr="006412FB">
        <w:rPr>
          <w:rFonts w:ascii="Times New Roman" w:hAnsi="Times New Roman" w:cs="Times New Roman"/>
          <w:color w:val="auto"/>
          <w:sz w:val="28"/>
          <w:szCs w:val="28"/>
        </w:rPr>
        <w:t>b)</w:t>
      </w:r>
      <w:r w:rsidR="009B3BCD" w:rsidRPr="006412FB">
        <w:rPr>
          <w:rFonts w:ascii="Times New Roman" w:hAnsi="Times New Roman" w:cs="Times New Roman"/>
          <w:color w:val="auto"/>
          <w:sz w:val="28"/>
          <w:szCs w:val="28"/>
        </w:rPr>
        <w:t xml:space="preserve"> Tác động tiêu cực</w:t>
      </w:r>
    </w:p>
    <w:p w14:paraId="2F181C32" w14:textId="24889D21" w:rsidR="009B3BCD" w:rsidRPr="006412FB" w:rsidRDefault="006412FB" w:rsidP="005A633B">
      <w:pPr>
        <w:pStyle w:val="NormalWeb"/>
        <w:spacing w:before="20" w:after="0" w:line="240" w:lineRule="auto"/>
        <w:ind w:firstLine="709"/>
        <w:jc w:val="both"/>
        <w:rPr>
          <w:sz w:val="28"/>
          <w:szCs w:val="28"/>
        </w:rPr>
      </w:pPr>
      <w:r w:rsidRPr="006412FB">
        <w:rPr>
          <w:sz w:val="28"/>
          <w:szCs w:val="28"/>
        </w:rPr>
        <w:t xml:space="preserve">- </w:t>
      </w:r>
      <w:r w:rsidR="009B3BCD" w:rsidRPr="006412FB">
        <w:rPr>
          <w:sz w:val="28"/>
          <w:szCs w:val="28"/>
        </w:rPr>
        <w:t>Một số doanh nghiệp thuộc diện sáp nhập, thoái vốn hoặc chuyển giao quyền đại diện chủ sở hữu sẽ phải điều chỉnh mô hình quản trị, tổ chức bộ máy và chiến lược hoạt động.</w:t>
      </w:r>
    </w:p>
    <w:p w14:paraId="4AFE722C" w14:textId="2800B80E" w:rsidR="009B3BCD" w:rsidRPr="006412FB" w:rsidRDefault="009B3BCD" w:rsidP="005A633B">
      <w:pPr>
        <w:pStyle w:val="NormalWeb"/>
        <w:spacing w:before="20" w:after="0" w:line="240" w:lineRule="auto"/>
        <w:ind w:firstLine="709"/>
        <w:jc w:val="both"/>
        <w:rPr>
          <w:sz w:val="28"/>
          <w:szCs w:val="28"/>
        </w:rPr>
      </w:pPr>
      <w:r w:rsidRPr="006412FB">
        <w:rPr>
          <w:sz w:val="28"/>
          <w:szCs w:val="28"/>
        </w:rPr>
        <w:t>Tuy nhiên, việc sắp xếp được thực hiện theo lộ trình phù hợp, bảo đảm ổn định hoạt động sản xuất kinh doanh và tuân thủ quy định pháp luật.</w:t>
      </w:r>
    </w:p>
    <w:p w14:paraId="75246481" w14:textId="77777777" w:rsidR="005A633B" w:rsidRDefault="006412FB" w:rsidP="005A633B">
      <w:pPr>
        <w:autoSpaceDE w:val="0"/>
        <w:autoSpaceDN w:val="0"/>
        <w:adjustRightInd w:val="0"/>
        <w:spacing w:before="20" w:after="0" w:line="240" w:lineRule="auto"/>
        <w:ind w:firstLine="709"/>
        <w:jc w:val="both"/>
        <w:rPr>
          <w:rFonts w:ascii="Times New Roman" w:hAnsi="Times New Roman" w:cs="Times New Roman"/>
          <w:sz w:val="28"/>
          <w:szCs w:val="28"/>
        </w:rPr>
      </w:pPr>
      <w:r w:rsidRPr="006412FB">
        <w:rPr>
          <w:rFonts w:ascii="Times New Roman" w:hAnsi="Times New Roman" w:cs="Times New Roman"/>
          <w:sz w:val="28"/>
          <w:szCs w:val="28"/>
        </w:rPr>
        <w:t>- Với chính sách tiền lương, thù lao đặc thù tại Nghị quyết có thể làm t</w:t>
      </w:r>
      <w:r w:rsidRPr="006412FB">
        <w:rPr>
          <w:rFonts w:ascii="Times New Roman" w:hAnsi="Times New Roman" w:cs="Times New Roman"/>
          <w:sz w:val="28"/>
          <w:szCs w:val="28"/>
          <w:lang w:val="en"/>
        </w:rPr>
        <w:t>ăng chi phí sản xuất kinh doanh của doanh nghiệp, tuy nhiên đây là mức tiền lương tối đa, khi doanh nghiệp chi trả còn phụ thuộc vào các chỉ tiêu tài chính, tốc độ tăng lợi nhuận, tốc độ tăng năng xuất lao động.</w:t>
      </w:r>
    </w:p>
    <w:p w14:paraId="1D98D7E7" w14:textId="058A8997" w:rsidR="005A633B" w:rsidRPr="005A633B" w:rsidRDefault="009B3BCD" w:rsidP="005A633B">
      <w:pPr>
        <w:autoSpaceDE w:val="0"/>
        <w:autoSpaceDN w:val="0"/>
        <w:adjustRightInd w:val="0"/>
        <w:spacing w:before="20" w:after="0" w:line="240" w:lineRule="auto"/>
        <w:ind w:firstLine="709"/>
        <w:jc w:val="both"/>
        <w:rPr>
          <w:lang w:val="en"/>
        </w:rPr>
      </w:pPr>
      <w:r w:rsidRPr="005A633B">
        <w:rPr>
          <w:rFonts w:ascii="Times New Roman" w:hAnsi="Times New Roman" w:cs="Times New Roman"/>
          <w:sz w:val="28"/>
          <w:szCs w:val="28"/>
          <w:lang w:val="en"/>
        </w:rPr>
        <w:t>Ủy ban nhân dân thành phố Hà Nội kính đề nghị Hội đồng nhân dân thành phố Hà Nội xem xét, thông qua Nghị quyết</w:t>
      </w:r>
      <w:r w:rsidR="009B53E0" w:rsidRPr="005A633B">
        <w:rPr>
          <w:rFonts w:ascii="Times New Roman" w:hAnsi="Times New Roman" w:cs="Times New Roman"/>
          <w:sz w:val="28"/>
          <w:szCs w:val="28"/>
          <w:lang w:val="en"/>
        </w:rPr>
        <w:t xml:space="preserve"> </w:t>
      </w:r>
      <w:r w:rsidRPr="005A633B">
        <w:rPr>
          <w:rFonts w:ascii="Times New Roman" w:hAnsi="Times New Roman" w:cs="Times New Roman"/>
          <w:sz w:val="28"/>
          <w:szCs w:val="28"/>
          <w:lang w:val="en"/>
        </w:rPr>
        <w:t>quyết định danh mục doanh nghiệp do Nhà nước nắm giữ cổ phần, vốn góp</w:t>
      </w:r>
      <w:r w:rsidR="00236DF5" w:rsidRPr="005A633B">
        <w:rPr>
          <w:rFonts w:ascii="Times New Roman" w:hAnsi="Times New Roman" w:cs="Times New Roman"/>
          <w:sz w:val="28"/>
          <w:szCs w:val="28"/>
          <w:lang w:val="en"/>
        </w:rPr>
        <w:t xml:space="preserve"> </w:t>
      </w:r>
      <w:r w:rsidRPr="005A633B">
        <w:rPr>
          <w:rFonts w:ascii="Times New Roman" w:hAnsi="Times New Roman" w:cs="Times New Roman"/>
          <w:sz w:val="28"/>
          <w:szCs w:val="28"/>
          <w:lang w:val="en"/>
        </w:rPr>
        <w:t>và thực hiện đầu tư vốn nhà nước</w:t>
      </w:r>
      <w:r w:rsidR="005A633B" w:rsidRPr="005A633B">
        <w:rPr>
          <w:rFonts w:ascii="Times New Roman" w:hAnsi="Times New Roman" w:cs="Times New Roman"/>
          <w:sz w:val="28"/>
          <w:szCs w:val="28"/>
          <w:lang w:val="en"/>
        </w:rPr>
        <w:t>; cơ chế chi trả tiền lương, thù lao, tiền thưởng đối với người đại diện chủ sở hữu trực tiếp, kiểm soát viên tại doanh nghiệp do Nhà nước nắm giữ 100% vốn điều lệ và người đại diện phần vốn nhà nước tại doanh nghiệp có vốn nhà nước thuộc UBND thành phố Hà Nội</w:t>
      </w:r>
      <w:r w:rsidR="005A633B">
        <w:rPr>
          <w:rFonts w:ascii="Times New Roman" w:hAnsi="Times New Roman" w:cs="Times New Roman"/>
          <w:sz w:val="28"/>
          <w:szCs w:val="28"/>
          <w:lang w:val="en"/>
        </w:rPr>
        <w:t>.</w:t>
      </w:r>
    </w:p>
    <w:p w14:paraId="76D4B61C" w14:textId="3C0E1DB9" w:rsidR="00EA3B14" w:rsidRPr="00D36BE0" w:rsidRDefault="00EA3B14" w:rsidP="005A633B">
      <w:pPr>
        <w:spacing w:before="20" w:after="0" w:line="240" w:lineRule="auto"/>
        <w:ind w:firstLine="720"/>
        <w:jc w:val="both"/>
        <w:rPr>
          <w:rFonts w:ascii="Times New Roman" w:hAnsi="Times New Roman" w:cs="Times New Roman"/>
          <w:sz w:val="28"/>
          <w:szCs w:val="28"/>
        </w:rPr>
      </w:pPr>
      <w:r w:rsidRPr="00D36BE0">
        <w:rPr>
          <w:rFonts w:ascii="Times New Roman" w:hAnsi="Times New Roman" w:cs="Times New Roman"/>
          <w:sz w:val="28"/>
          <w:szCs w:val="28"/>
          <w:lang w:val="vi-VN"/>
        </w:rPr>
        <w:t>Ủy ban nhân dân Thành phố kính trình Hội đồng nhân dân Thành phố xem</w:t>
      </w:r>
      <w:r w:rsidR="002B1FEC" w:rsidRPr="00D36BE0">
        <w:rPr>
          <w:rFonts w:ascii="Times New Roman" w:hAnsi="Times New Roman" w:cs="Times New Roman"/>
          <w:sz w:val="28"/>
          <w:szCs w:val="28"/>
        </w:rPr>
        <w:t xml:space="preserve"> </w:t>
      </w:r>
      <w:r w:rsidRPr="00D36BE0">
        <w:rPr>
          <w:rFonts w:ascii="Times New Roman" w:hAnsi="Times New Roman" w:cs="Times New Roman"/>
          <w:sz w:val="28"/>
          <w:szCs w:val="28"/>
        </w:rPr>
        <w:t>xét, quyết định./.</w:t>
      </w:r>
    </w:p>
    <w:sectPr w:rsidR="00EA3B14" w:rsidRPr="00D36BE0" w:rsidSect="006412FB">
      <w:headerReference w:type="default" r:id="rId8"/>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0B6B" w14:textId="77777777" w:rsidR="00A8178D" w:rsidRDefault="00A8178D" w:rsidP="00D16497">
      <w:pPr>
        <w:spacing w:after="0" w:line="240" w:lineRule="auto"/>
      </w:pPr>
      <w:r>
        <w:separator/>
      </w:r>
    </w:p>
  </w:endnote>
  <w:endnote w:type="continuationSeparator" w:id="0">
    <w:p w14:paraId="5E92B594" w14:textId="77777777" w:rsidR="00A8178D" w:rsidRDefault="00A8178D" w:rsidP="00D1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20957" w14:textId="77777777" w:rsidR="00A8178D" w:rsidRDefault="00A8178D" w:rsidP="00D16497">
      <w:pPr>
        <w:spacing w:after="0" w:line="240" w:lineRule="auto"/>
      </w:pPr>
      <w:r>
        <w:separator/>
      </w:r>
    </w:p>
  </w:footnote>
  <w:footnote w:type="continuationSeparator" w:id="0">
    <w:p w14:paraId="6BFCE006" w14:textId="77777777" w:rsidR="00A8178D" w:rsidRDefault="00A8178D" w:rsidP="00D1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13093"/>
      <w:docPartObj>
        <w:docPartGallery w:val="Page Numbers (Top of Page)"/>
        <w:docPartUnique/>
      </w:docPartObj>
    </w:sdtPr>
    <w:sdtEndPr>
      <w:rPr>
        <w:noProof/>
      </w:rPr>
    </w:sdtEndPr>
    <w:sdtContent>
      <w:p w14:paraId="1CEF09DD" w14:textId="2BC9C435" w:rsidR="00D16497" w:rsidRDefault="00D16497">
        <w:pPr>
          <w:pStyle w:val="Header"/>
          <w:jc w:val="center"/>
        </w:pPr>
        <w:r>
          <w:fldChar w:fldCharType="begin"/>
        </w:r>
        <w:r>
          <w:instrText xml:space="preserve"> PAGE   \* MERGEFORMAT </w:instrText>
        </w:r>
        <w:r>
          <w:fldChar w:fldCharType="separate"/>
        </w:r>
        <w:r w:rsidR="00613514">
          <w:rPr>
            <w:noProof/>
          </w:rPr>
          <w:t>5</w:t>
        </w:r>
        <w:r>
          <w:rPr>
            <w:noProof/>
          </w:rPr>
          <w:fldChar w:fldCharType="end"/>
        </w:r>
      </w:p>
    </w:sdtContent>
  </w:sdt>
  <w:p w14:paraId="21F31564" w14:textId="77777777" w:rsidR="00D16497" w:rsidRDefault="00D164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upperRoman"/>
      <w:suff w:val="space"/>
      <w:lvlText w:val="%1."/>
      <w:lvlJc w:val="left"/>
      <w:pPr>
        <w:tabs>
          <w:tab w:val="num" w:pos="0"/>
        </w:tabs>
        <w:ind w:left="0" w:firstLine="567"/>
      </w:pPr>
    </w:lvl>
    <w:lvl w:ilvl="1">
      <w:start w:val="1"/>
      <w:numFmt w:val="decimal"/>
      <w:lvlText w:val="%2."/>
      <w:lvlJc w:val="left"/>
      <w:pPr>
        <w:tabs>
          <w:tab w:val="num" w:pos="0"/>
        </w:tabs>
        <w:ind w:left="2517" w:hanging="360"/>
      </w:pPr>
    </w:lvl>
    <w:lvl w:ilvl="2">
      <w:start w:val="1"/>
      <w:numFmt w:val="lowerRoman"/>
      <w:lvlText w:val="%3."/>
      <w:lvlJc w:val="right"/>
      <w:pPr>
        <w:tabs>
          <w:tab w:val="num" w:pos="0"/>
        </w:tabs>
        <w:ind w:left="3237" w:hanging="180"/>
      </w:pPr>
    </w:lvl>
    <w:lvl w:ilvl="3">
      <w:start w:val="1"/>
      <w:numFmt w:val="decimal"/>
      <w:lvlText w:val="%4."/>
      <w:lvlJc w:val="left"/>
      <w:pPr>
        <w:tabs>
          <w:tab w:val="num" w:pos="0"/>
        </w:tabs>
        <w:ind w:left="3957" w:hanging="360"/>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1" w15:restartNumberingAfterBreak="0">
    <w:nsid w:val="00000002"/>
    <w:multiLevelType w:val="multilevel"/>
    <w:tmpl w:val="ACE6A74C"/>
    <w:name w:val="WWNum8"/>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8"/>
    <w:multiLevelType w:val="multilevel"/>
    <w:tmpl w:val="00000008"/>
    <w:name w:val="WWNum1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Letter"/>
      <w:suff w:val="space"/>
      <w:lvlText w:val="%3)"/>
      <w:lvlJc w:val="left"/>
      <w:pPr>
        <w:tabs>
          <w:tab w:val="num" w:pos="0"/>
        </w:tabs>
        <w:ind w:left="0" w:firstLine="737"/>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000001A"/>
    <w:multiLevelType w:val="multilevel"/>
    <w:tmpl w:val="BF466DA2"/>
    <w:name w:val="WWNum32"/>
    <w:lvl w:ilvl="0">
      <w:start w:val="1"/>
      <w:numFmt w:val="bullet"/>
      <w:suff w:val="space"/>
      <w:lvlText w:val="-"/>
      <w:lvlJc w:val="left"/>
      <w:pPr>
        <w:ind w:left="0" w:firstLine="737"/>
      </w:pPr>
      <w:rPr>
        <w:rFonts w:ascii="Times New Roman" w:hAnsi="Times New Roman" w:cs="Times New Roman" w:hint="default"/>
        <w:b/>
        <w:sz w:val="28"/>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hint="default"/>
      </w:rPr>
    </w:lvl>
    <w:lvl w:ilvl="3">
      <w:start w:val="1"/>
      <w:numFmt w:val="bullet"/>
      <w:lvlText w:val=""/>
      <w:lvlJc w:val="left"/>
      <w:pPr>
        <w:tabs>
          <w:tab w:val="num" w:pos="0"/>
        </w:tabs>
        <w:ind w:left="3087" w:hanging="360"/>
      </w:pPr>
      <w:rPr>
        <w:rFonts w:ascii="Symbol" w:hAnsi="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hint="default"/>
      </w:rPr>
    </w:lvl>
    <w:lvl w:ilvl="6">
      <w:start w:val="1"/>
      <w:numFmt w:val="bullet"/>
      <w:lvlText w:val=""/>
      <w:lvlJc w:val="left"/>
      <w:pPr>
        <w:tabs>
          <w:tab w:val="num" w:pos="0"/>
        </w:tabs>
        <w:ind w:left="5247" w:hanging="360"/>
      </w:pPr>
      <w:rPr>
        <w:rFonts w:ascii="Symbol" w:hAnsi="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hint="default"/>
      </w:rPr>
    </w:lvl>
  </w:abstractNum>
  <w:abstractNum w:abstractNumId="4" w15:restartNumberingAfterBreak="0">
    <w:nsid w:val="0000001D"/>
    <w:multiLevelType w:val="multilevel"/>
    <w:tmpl w:val="0000001D"/>
    <w:name w:val="WWNum35"/>
    <w:lvl w:ilvl="0">
      <w:start w:val="1"/>
      <w:numFmt w:val="bullet"/>
      <w:suff w:val="space"/>
      <w:lvlText w:val="-"/>
      <w:lvlJc w:val="left"/>
      <w:pPr>
        <w:tabs>
          <w:tab w:val="num" w:pos="0"/>
        </w:tabs>
        <w:ind w:left="0" w:firstLine="737"/>
      </w:pPr>
      <w:rPr>
        <w:rFonts w:ascii="Times New Roman" w:hAnsi="Times New Roman" w:cs="Times New Roman"/>
        <w:b/>
        <w:sz w:val="28"/>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5" w15:restartNumberingAfterBreak="0">
    <w:nsid w:val="02EB2193"/>
    <w:multiLevelType w:val="multilevel"/>
    <w:tmpl w:val="FECC85A6"/>
    <w:lvl w:ilvl="0">
      <w:start w:val="4"/>
      <w:numFmt w:val="bullet"/>
      <w:suff w:val="space"/>
      <w:lvlText w:val="+"/>
      <w:lvlJc w:val="left"/>
      <w:pPr>
        <w:ind w:left="0" w:firstLine="360"/>
      </w:pPr>
      <w:rPr>
        <w:rFonts w:ascii="Times New Roman" w:eastAsiaTheme="minorHAnsi"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026B6"/>
    <w:multiLevelType w:val="multilevel"/>
    <w:tmpl w:val="C4580E36"/>
    <w:lvl w:ilvl="0">
      <w:start w:val="2"/>
      <w:numFmt w:val="bullet"/>
      <w:suff w:val="space"/>
      <w:lvlText w:val="-"/>
      <w:lvlJc w:val="left"/>
      <w:pPr>
        <w:ind w:left="0" w:firstLine="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10FD9"/>
    <w:multiLevelType w:val="multilevel"/>
    <w:tmpl w:val="66321982"/>
    <w:lvl w:ilvl="0">
      <w:start w:val="2"/>
      <w:numFmt w:val="bullet"/>
      <w:suff w:val="space"/>
      <w:lvlText w:val="-"/>
      <w:lvlJc w:val="left"/>
      <w:pPr>
        <w:ind w:left="0" w:hanging="360"/>
      </w:pPr>
      <w:rPr>
        <w:rFonts w:ascii="Times New Roman" w:hAnsi="Times New Roman" w:cs="Times New Roman"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1D213B26"/>
    <w:multiLevelType w:val="multilevel"/>
    <w:tmpl w:val="ACE6A74C"/>
    <w:styleLink w:val="Style1"/>
    <w:lvl w:ilvl="0">
      <w:start w:val="1"/>
      <w:numFmt w:val="decimal"/>
      <w:suff w:val="space"/>
      <w:lvlText w:val="%1."/>
      <w:lvlJc w:val="left"/>
      <w:pPr>
        <w:ind w:left="0" w:firstLine="737"/>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40F3078"/>
    <w:multiLevelType w:val="hybridMultilevel"/>
    <w:tmpl w:val="3468F34E"/>
    <w:lvl w:ilvl="0" w:tplc="6CC41B50">
      <w:start w:val="1"/>
      <w:numFmt w:val="decimal"/>
      <w:suff w:val="space"/>
      <w:lvlText w:val="%1."/>
      <w:lvlJc w:val="left"/>
      <w:pPr>
        <w:ind w:left="0" w:firstLine="106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D042C62"/>
    <w:multiLevelType w:val="multilevel"/>
    <w:tmpl w:val="A93AB854"/>
    <w:lvl w:ilvl="0">
      <w:start w:val="2"/>
      <w:numFmt w:val="bullet"/>
      <w:suff w:val="space"/>
      <w:lvlText w:val="-"/>
      <w:lvlJc w:val="left"/>
      <w:pPr>
        <w:ind w:left="0" w:firstLine="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D38AB"/>
    <w:multiLevelType w:val="multilevel"/>
    <w:tmpl w:val="E12E24DE"/>
    <w:lvl w:ilvl="0">
      <w:start w:val="2"/>
      <w:numFmt w:val="bullet"/>
      <w:suff w:val="space"/>
      <w:lvlText w:val="-"/>
      <w:lvlJc w:val="left"/>
      <w:pPr>
        <w:ind w:left="0" w:hanging="360"/>
      </w:pPr>
      <w:rPr>
        <w:rFonts w:ascii="Times New Roman" w:hAnsi="Times New Roman" w:cs="Times New Roman"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6FEF03E8"/>
    <w:multiLevelType w:val="hybridMultilevel"/>
    <w:tmpl w:val="AA449D80"/>
    <w:name w:val="WWNum322"/>
    <w:lvl w:ilvl="0" w:tplc="BD247FBA">
      <w:start w:val="1"/>
      <w:numFmt w:val="lowerLetter"/>
      <w:suff w:val="space"/>
      <w:lvlText w:val="%1)"/>
      <w:lvlJc w:val="left"/>
      <w:pPr>
        <w:ind w:left="0" w:firstLine="106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7F71775E"/>
    <w:multiLevelType w:val="hybridMultilevel"/>
    <w:tmpl w:val="3CBA2388"/>
    <w:name w:val="WWNum3222"/>
    <w:lvl w:ilvl="0" w:tplc="E84C5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11"/>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E9"/>
    <w:rsid w:val="000210F0"/>
    <w:rsid w:val="00026403"/>
    <w:rsid w:val="00043703"/>
    <w:rsid w:val="00043B61"/>
    <w:rsid w:val="0004679B"/>
    <w:rsid w:val="00060C2B"/>
    <w:rsid w:val="000615E2"/>
    <w:rsid w:val="00071A40"/>
    <w:rsid w:val="00072FA4"/>
    <w:rsid w:val="0009116D"/>
    <w:rsid w:val="00095F49"/>
    <w:rsid w:val="000A2F92"/>
    <w:rsid w:val="000A4E0D"/>
    <w:rsid w:val="000B5A94"/>
    <w:rsid w:val="000B7061"/>
    <w:rsid w:val="000C6BFB"/>
    <w:rsid w:val="000C7EA6"/>
    <w:rsid w:val="000E1F6B"/>
    <w:rsid w:val="000F2927"/>
    <w:rsid w:val="0010121A"/>
    <w:rsid w:val="0010679F"/>
    <w:rsid w:val="00117E02"/>
    <w:rsid w:val="0012281C"/>
    <w:rsid w:val="001329A9"/>
    <w:rsid w:val="0014064E"/>
    <w:rsid w:val="00151A80"/>
    <w:rsid w:val="00157066"/>
    <w:rsid w:val="00172BA2"/>
    <w:rsid w:val="00173401"/>
    <w:rsid w:val="0017527E"/>
    <w:rsid w:val="0018101E"/>
    <w:rsid w:val="00193CF4"/>
    <w:rsid w:val="001A06D9"/>
    <w:rsid w:val="001A6469"/>
    <w:rsid w:val="001B5415"/>
    <w:rsid w:val="001D2AF4"/>
    <w:rsid w:val="001E2039"/>
    <w:rsid w:val="001E53E9"/>
    <w:rsid w:val="001F3D46"/>
    <w:rsid w:val="001F7BA3"/>
    <w:rsid w:val="0020708E"/>
    <w:rsid w:val="002124B1"/>
    <w:rsid w:val="00221B85"/>
    <w:rsid w:val="002307D6"/>
    <w:rsid w:val="00236DF5"/>
    <w:rsid w:val="0024257F"/>
    <w:rsid w:val="00247378"/>
    <w:rsid w:val="002511CA"/>
    <w:rsid w:val="00253A57"/>
    <w:rsid w:val="002547C2"/>
    <w:rsid w:val="00264A05"/>
    <w:rsid w:val="00272614"/>
    <w:rsid w:val="00286713"/>
    <w:rsid w:val="002A54DA"/>
    <w:rsid w:val="002B1FEC"/>
    <w:rsid w:val="002C19AE"/>
    <w:rsid w:val="002C1C14"/>
    <w:rsid w:val="002D6110"/>
    <w:rsid w:val="002E3850"/>
    <w:rsid w:val="002E45D1"/>
    <w:rsid w:val="003033D0"/>
    <w:rsid w:val="00312E8B"/>
    <w:rsid w:val="00315322"/>
    <w:rsid w:val="0032329D"/>
    <w:rsid w:val="003243CE"/>
    <w:rsid w:val="003406E5"/>
    <w:rsid w:val="00343379"/>
    <w:rsid w:val="00362FF3"/>
    <w:rsid w:val="003717EF"/>
    <w:rsid w:val="00377E7C"/>
    <w:rsid w:val="003803F8"/>
    <w:rsid w:val="003824E7"/>
    <w:rsid w:val="0038414A"/>
    <w:rsid w:val="00390921"/>
    <w:rsid w:val="00394C8B"/>
    <w:rsid w:val="0039629B"/>
    <w:rsid w:val="003A1110"/>
    <w:rsid w:val="003A7DFD"/>
    <w:rsid w:val="003C1794"/>
    <w:rsid w:val="003C6800"/>
    <w:rsid w:val="003E2738"/>
    <w:rsid w:val="003F77D4"/>
    <w:rsid w:val="0040499C"/>
    <w:rsid w:val="004108EF"/>
    <w:rsid w:val="004111D4"/>
    <w:rsid w:val="0041444B"/>
    <w:rsid w:val="004158EB"/>
    <w:rsid w:val="004212F1"/>
    <w:rsid w:val="00421B76"/>
    <w:rsid w:val="00422B2A"/>
    <w:rsid w:val="00427ACC"/>
    <w:rsid w:val="00435461"/>
    <w:rsid w:val="004413B9"/>
    <w:rsid w:val="004437E3"/>
    <w:rsid w:val="004476B3"/>
    <w:rsid w:val="00452A53"/>
    <w:rsid w:val="00456607"/>
    <w:rsid w:val="00465AD8"/>
    <w:rsid w:val="00483833"/>
    <w:rsid w:val="00490D37"/>
    <w:rsid w:val="004927AC"/>
    <w:rsid w:val="00494538"/>
    <w:rsid w:val="004A2766"/>
    <w:rsid w:val="004A311D"/>
    <w:rsid w:val="004B26FC"/>
    <w:rsid w:val="004C0FEA"/>
    <w:rsid w:val="004D0350"/>
    <w:rsid w:val="004F291F"/>
    <w:rsid w:val="004F5414"/>
    <w:rsid w:val="005002E4"/>
    <w:rsid w:val="005003CC"/>
    <w:rsid w:val="00502BED"/>
    <w:rsid w:val="00502D22"/>
    <w:rsid w:val="00502D86"/>
    <w:rsid w:val="00510BBE"/>
    <w:rsid w:val="0051784F"/>
    <w:rsid w:val="005210C5"/>
    <w:rsid w:val="00522A6F"/>
    <w:rsid w:val="00522F17"/>
    <w:rsid w:val="00523B81"/>
    <w:rsid w:val="00527782"/>
    <w:rsid w:val="00527BBD"/>
    <w:rsid w:val="00531AF9"/>
    <w:rsid w:val="005322B4"/>
    <w:rsid w:val="005358C3"/>
    <w:rsid w:val="0054093C"/>
    <w:rsid w:val="00545211"/>
    <w:rsid w:val="00546185"/>
    <w:rsid w:val="00561CF9"/>
    <w:rsid w:val="00581906"/>
    <w:rsid w:val="00586B1B"/>
    <w:rsid w:val="005910B9"/>
    <w:rsid w:val="00592A24"/>
    <w:rsid w:val="005936C6"/>
    <w:rsid w:val="005A4606"/>
    <w:rsid w:val="005A56ED"/>
    <w:rsid w:val="005A633B"/>
    <w:rsid w:val="005B22F7"/>
    <w:rsid w:val="005B29F6"/>
    <w:rsid w:val="005C6AAC"/>
    <w:rsid w:val="005D441D"/>
    <w:rsid w:val="005E1276"/>
    <w:rsid w:val="005E7529"/>
    <w:rsid w:val="005F7E04"/>
    <w:rsid w:val="0061076B"/>
    <w:rsid w:val="00610E1E"/>
    <w:rsid w:val="0061262C"/>
    <w:rsid w:val="00613514"/>
    <w:rsid w:val="0061374F"/>
    <w:rsid w:val="00630017"/>
    <w:rsid w:val="006327BE"/>
    <w:rsid w:val="00635FAC"/>
    <w:rsid w:val="006412FB"/>
    <w:rsid w:val="0066399F"/>
    <w:rsid w:val="00670882"/>
    <w:rsid w:val="00670E76"/>
    <w:rsid w:val="0067363D"/>
    <w:rsid w:val="00687028"/>
    <w:rsid w:val="00691306"/>
    <w:rsid w:val="0069132B"/>
    <w:rsid w:val="006A53E5"/>
    <w:rsid w:val="006B05A3"/>
    <w:rsid w:val="006C4D21"/>
    <w:rsid w:val="006D27C6"/>
    <w:rsid w:val="006D787C"/>
    <w:rsid w:val="006D7D21"/>
    <w:rsid w:val="006F099B"/>
    <w:rsid w:val="006F09B9"/>
    <w:rsid w:val="007018B2"/>
    <w:rsid w:val="00704976"/>
    <w:rsid w:val="0071003D"/>
    <w:rsid w:val="00711C5A"/>
    <w:rsid w:val="00711ECD"/>
    <w:rsid w:val="007157F3"/>
    <w:rsid w:val="00715989"/>
    <w:rsid w:val="0072393F"/>
    <w:rsid w:val="00723A68"/>
    <w:rsid w:val="0072518B"/>
    <w:rsid w:val="00725D27"/>
    <w:rsid w:val="00740545"/>
    <w:rsid w:val="00741C5E"/>
    <w:rsid w:val="007429C5"/>
    <w:rsid w:val="00742D98"/>
    <w:rsid w:val="00756198"/>
    <w:rsid w:val="0076346D"/>
    <w:rsid w:val="007639C6"/>
    <w:rsid w:val="00766C32"/>
    <w:rsid w:val="00781D14"/>
    <w:rsid w:val="007860DD"/>
    <w:rsid w:val="007928B0"/>
    <w:rsid w:val="007943D8"/>
    <w:rsid w:val="00795B18"/>
    <w:rsid w:val="00796887"/>
    <w:rsid w:val="007A1941"/>
    <w:rsid w:val="007A406B"/>
    <w:rsid w:val="007C2D4A"/>
    <w:rsid w:val="007C4CFE"/>
    <w:rsid w:val="007C5AD9"/>
    <w:rsid w:val="007C6369"/>
    <w:rsid w:val="007D38B9"/>
    <w:rsid w:val="007E4EEF"/>
    <w:rsid w:val="007F17AB"/>
    <w:rsid w:val="007F4BB5"/>
    <w:rsid w:val="007F7398"/>
    <w:rsid w:val="008017AF"/>
    <w:rsid w:val="00803325"/>
    <w:rsid w:val="00804922"/>
    <w:rsid w:val="0081140F"/>
    <w:rsid w:val="00831A01"/>
    <w:rsid w:val="00831C06"/>
    <w:rsid w:val="00832CE0"/>
    <w:rsid w:val="0084484D"/>
    <w:rsid w:val="00850448"/>
    <w:rsid w:val="0086685B"/>
    <w:rsid w:val="00872995"/>
    <w:rsid w:val="008747BF"/>
    <w:rsid w:val="00875075"/>
    <w:rsid w:val="008758FB"/>
    <w:rsid w:val="00880A13"/>
    <w:rsid w:val="00895DC6"/>
    <w:rsid w:val="00896604"/>
    <w:rsid w:val="008969F6"/>
    <w:rsid w:val="008A1267"/>
    <w:rsid w:val="008A1B18"/>
    <w:rsid w:val="008A7C7A"/>
    <w:rsid w:val="008B6134"/>
    <w:rsid w:val="008B61FD"/>
    <w:rsid w:val="008C109E"/>
    <w:rsid w:val="008E1BA5"/>
    <w:rsid w:val="00900F17"/>
    <w:rsid w:val="00911835"/>
    <w:rsid w:val="00921F17"/>
    <w:rsid w:val="00922E24"/>
    <w:rsid w:val="00925A5D"/>
    <w:rsid w:val="009367F1"/>
    <w:rsid w:val="00951A0D"/>
    <w:rsid w:val="00952BB6"/>
    <w:rsid w:val="00954DBE"/>
    <w:rsid w:val="00957803"/>
    <w:rsid w:val="00957BBB"/>
    <w:rsid w:val="00962279"/>
    <w:rsid w:val="009666D3"/>
    <w:rsid w:val="0096700F"/>
    <w:rsid w:val="00973F1D"/>
    <w:rsid w:val="00976CEA"/>
    <w:rsid w:val="00984AC8"/>
    <w:rsid w:val="009855B0"/>
    <w:rsid w:val="00987661"/>
    <w:rsid w:val="00991A18"/>
    <w:rsid w:val="009B1673"/>
    <w:rsid w:val="009B3BCD"/>
    <w:rsid w:val="009B53E0"/>
    <w:rsid w:val="009B7B6C"/>
    <w:rsid w:val="009C3966"/>
    <w:rsid w:val="009C60B4"/>
    <w:rsid w:val="009D24FE"/>
    <w:rsid w:val="009D4FA0"/>
    <w:rsid w:val="00A267A4"/>
    <w:rsid w:val="00A32885"/>
    <w:rsid w:val="00A44088"/>
    <w:rsid w:val="00A47839"/>
    <w:rsid w:val="00A51BF1"/>
    <w:rsid w:val="00A53112"/>
    <w:rsid w:val="00A54CD5"/>
    <w:rsid w:val="00A659CC"/>
    <w:rsid w:val="00A71981"/>
    <w:rsid w:val="00A740B8"/>
    <w:rsid w:val="00A7414B"/>
    <w:rsid w:val="00A8178D"/>
    <w:rsid w:val="00A82047"/>
    <w:rsid w:val="00A91BA1"/>
    <w:rsid w:val="00A92E70"/>
    <w:rsid w:val="00A943AA"/>
    <w:rsid w:val="00AA5BD0"/>
    <w:rsid w:val="00AB37DE"/>
    <w:rsid w:val="00AC040E"/>
    <w:rsid w:val="00AC6A7A"/>
    <w:rsid w:val="00AD2906"/>
    <w:rsid w:val="00AF61CE"/>
    <w:rsid w:val="00B02961"/>
    <w:rsid w:val="00B0313C"/>
    <w:rsid w:val="00B043C2"/>
    <w:rsid w:val="00B0716B"/>
    <w:rsid w:val="00B11B8C"/>
    <w:rsid w:val="00B5226B"/>
    <w:rsid w:val="00B60116"/>
    <w:rsid w:val="00B609B4"/>
    <w:rsid w:val="00B73227"/>
    <w:rsid w:val="00B73A1B"/>
    <w:rsid w:val="00B906A4"/>
    <w:rsid w:val="00B90A23"/>
    <w:rsid w:val="00B94F34"/>
    <w:rsid w:val="00BA317C"/>
    <w:rsid w:val="00BA3600"/>
    <w:rsid w:val="00BA476C"/>
    <w:rsid w:val="00BA5536"/>
    <w:rsid w:val="00BA69FF"/>
    <w:rsid w:val="00BB0879"/>
    <w:rsid w:val="00BB5436"/>
    <w:rsid w:val="00BC12C4"/>
    <w:rsid w:val="00BE1598"/>
    <w:rsid w:val="00BE6F23"/>
    <w:rsid w:val="00C0068E"/>
    <w:rsid w:val="00C03B9D"/>
    <w:rsid w:val="00C12ABE"/>
    <w:rsid w:val="00C34631"/>
    <w:rsid w:val="00C5177C"/>
    <w:rsid w:val="00C54899"/>
    <w:rsid w:val="00C775FF"/>
    <w:rsid w:val="00C82BC9"/>
    <w:rsid w:val="00C830E9"/>
    <w:rsid w:val="00C86A93"/>
    <w:rsid w:val="00CC7AD3"/>
    <w:rsid w:val="00CE4E95"/>
    <w:rsid w:val="00CE7FA0"/>
    <w:rsid w:val="00CF1FE5"/>
    <w:rsid w:val="00CF2D0D"/>
    <w:rsid w:val="00CF3EA2"/>
    <w:rsid w:val="00CF695C"/>
    <w:rsid w:val="00D00429"/>
    <w:rsid w:val="00D018FD"/>
    <w:rsid w:val="00D04D41"/>
    <w:rsid w:val="00D10691"/>
    <w:rsid w:val="00D16497"/>
    <w:rsid w:val="00D30168"/>
    <w:rsid w:val="00D3043A"/>
    <w:rsid w:val="00D307BD"/>
    <w:rsid w:val="00D32D8B"/>
    <w:rsid w:val="00D33EE8"/>
    <w:rsid w:val="00D3693F"/>
    <w:rsid w:val="00D36BE0"/>
    <w:rsid w:val="00D463F6"/>
    <w:rsid w:val="00D53291"/>
    <w:rsid w:val="00D55AFE"/>
    <w:rsid w:val="00D56DC4"/>
    <w:rsid w:val="00D64DFF"/>
    <w:rsid w:val="00D81328"/>
    <w:rsid w:val="00D8136A"/>
    <w:rsid w:val="00D81B82"/>
    <w:rsid w:val="00D95936"/>
    <w:rsid w:val="00D95F86"/>
    <w:rsid w:val="00DB0D25"/>
    <w:rsid w:val="00DB35DB"/>
    <w:rsid w:val="00DC30F1"/>
    <w:rsid w:val="00DD43C8"/>
    <w:rsid w:val="00DD52BD"/>
    <w:rsid w:val="00DD6A66"/>
    <w:rsid w:val="00DD746C"/>
    <w:rsid w:val="00DE46E3"/>
    <w:rsid w:val="00DF147D"/>
    <w:rsid w:val="00DF7129"/>
    <w:rsid w:val="00E02972"/>
    <w:rsid w:val="00E04572"/>
    <w:rsid w:val="00E117A9"/>
    <w:rsid w:val="00E13FB4"/>
    <w:rsid w:val="00E141F8"/>
    <w:rsid w:val="00E24662"/>
    <w:rsid w:val="00E24D30"/>
    <w:rsid w:val="00E3167E"/>
    <w:rsid w:val="00E339F0"/>
    <w:rsid w:val="00E36585"/>
    <w:rsid w:val="00E47984"/>
    <w:rsid w:val="00E55A75"/>
    <w:rsid w:val="00E65512"/>
    <w:rsid w:val="00E70B85"/>
    <w:rsid w:val="00E832C3"/>
    <w:rsid w:val="00E84DE8"/>
    <w:rsid w:val="00E85C1C"/>
    <w:rsid w:val="00E85EF5"/>
    <w:rsid w:val="00EA3B14"/>
    <w:rsid w:val="00EA4467"/>
    <w:rsid w:val="00EC0321"/>
    <w:rsid w:val="00EC4EE9"/>
    <w:rsid w:val="00ED3DD6"/>
    <w:rsid w:val="00EE24C4"/>
    <w:rsid w:val="00EE42B7"/>
    <w:rsid w:val="00EE776C"/>
    <w:rsid w:val="00EF054E"/>
    <w:rsid w:val="00F0484F"/>
    <w:rsid w:val="00F0532A"/>
    <w:rsid w:val="00F156DC"/>
    <w:rsid w:val="00F159F6"/>
    <w:rsid w:val="00F30FB1"/>
    <w:rsid w:val="00F31AE3"/>
    <w:rsid w:val="00F332EE"/>
    <w:rsid w:val="00F36969"/>
    <w:rsid w:val="00F37F4F"/>
    <w:rsid w:val="00F410C9"/>
    <w:rsid w:val="00F72702"/>
    <w:rsid w:val="00F91CA5"/>
    <w:rsid w:val="00F97645"/>
    <w:rsid w:val="00FA4BD2"/>
    <w:rsid w:val="00FB369E"/>
    <w:rsid w:val="00FB78B6"/>
    <w:rsid w:val="00FC7244"/>
    <w:rsid w:val="00FD6CEF"/>
    <w:rsid w:val="00FD7202"/>
    <w:rsid w:val="00FD73AD"/>
    <w:rsid w:val="00FE1BAE"/>
    <w:rsid w:val="00FE4179"/>
    <w:rsid w:val="00FE57F4"/>
    <w:rsid w:val="00FE6B92"/>
    <w:rsid w:val="00FF2712"/>
    <w:rsid w:val="00FF594F"/>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E638"/>
  <w15:chartTrackingRefBased/>
  <w15:docId w15:val="{E9D55950-1A72-4EE7-985F-81036BD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1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F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3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uiPriority w:val="22"/>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aliases w:val="heading,Thang2,Paragraphe de liste PBLH,Bullet Points,Bullet list,Table of contents numbered,Liststycke SKL,Normal bullet 2,Subtítulo tabela,Liste Paragraf1,List Paragraph (numbered (a)),List Paragraph 1,Numbered paragraph,Huong 5,Picture"/>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
    <w:name w:val="Unresolved Mention"/>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Heading1Char">
    <w:name w:val="Heading 1 Char"/>
    <w:basedOn w:val="DefaultParagraphFont"/>
    <w:link w:val="Heading1"/>
    <w:uiPriority w:val="9"/>
    <w:rsid w:val="00D8136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9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97"/>
  </w:style>
  <w:style w:type="paragraph" w:styleId="Footer">
    <w:name w:val="footer"/>
    <w:basedOn w:val="Normal"/>
    <w:link w:val="FooterChar"/>
    <w:uiPriority w:val="99"/>
    <w:unhideWhenUsed/>
    <w:rsid w:val="00D16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97"/>
  </w:style>
  <w:style w:type="numbering" w:customStyle="1" w:styleId="Style1">
    <w:name w:val="Style1"/>
    <w:uiPriority w:val="99"/>
    <w:rsid w:val="00DF7129"/>
    <w:pPr>
      <w:numPr>
        <w:numId w:val="1"/>
      </w:numPr>
    </w:pPr>
  </w:style>
  <w:style w:type="character" w:customStyle="1" w:styleId="whitespace-normal">
    <w:name w:val="whitespace-normal"/>
    <w:basedOn w:val="DefaultParagraphFont"/>
    <w:rsid w:val="00A91BA1"/>
  </w:style>
  <w:style w:type="character" w:customStyle="1" w:styleId="Heading2Char">
    <w:name w:val="Heading 2 Char"/>
    <w:basedOn w:val="DefaultParagraphFont"/>
    <w:link w:val="Heading2"/>
    <w:uiPriority w:val="9"/>
    <w:rsid w:val="00522F1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9B3BC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B3B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143">
      <w:bodyDiv w:val="1"/>
      <w:marLeft w:val="0"/>
      <w:marRight w:val="0"/>
      <w:marTop w:val="0"/>
      <w:marBottom w:val="0"/>
      <w:divBdr>
        <w:top w:val="none" w:sz="0" w:space="0" w:color="auto"/>
        <w:left w:val="none" w:sz="0" w:space="0" w:color="auto"/>
        <w:bottom w:val="none" w:sz="0" w:space="0" w:color="auto"/>
        <w:right w:val="none" w:sz="0" w:space="0" w:color="auto"/>
      </w:divBdr>
    </w:div>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564682208">
      <w:bodyDiv w:val="1"/>
      <w:marLeft w:val="0"/>
      <w:marRight w:val="0"/>
      <w:marTop w:val="0"/>
      <w:marBottom w:val="0"/>
      <w:divBdr>
        <w:top w:val="none" w:sz="0" w:space="0" w:color="auto"/>
        <w:left w:val="none" w:sz="0" w:space="0" w:color="auto"/>
        <w:bottom w:val="none" w:sz="0" w:space="0" w:color="auto"/>
        <w:right w:val="none" w:sz="0" w:space="0" w:color="auto"/>
      </w:divBdr>
      <w:divsChild>
        <w:div w:id="1265381877">
          <w:marLeft w:val="0"/>
          <w:marRight w:val="0"/>
          <w:marTop w:val="0"/>
          <w:marBottom w:val="0"/>
          <w:divBdr>
            <w:top w:val="none" w:sz="0" w:space="0" w:color="auto"/>
            <w:left w:val="none" w:sz="0" w:space="0" w:color="auto"/>
            <w:bottom w:val="none" w:sz="0" w:space="0" w:color="auto"/>
            <w:right w:val="none" w:sz="0" w:space="0" w:color="auto"/>
          </w:divBdr>
        </w:div>
        <w:div w:id="381489098">
          <w:marLeft w:val="0"/>
          <w:marRight w:val="0"/>
          <w:marTop w:val="0"/>
          <w:marBottom w:val="0"/>
          <w:divBdr>
            <w:top w:val="none" w:sz="0" w:space="0" w:color="auto"/>
            <w:left w:val="none" w:sz="0" w:space="0" w:color="auto"/>
            <w:bottom w:val="none" w:sz="0" w:space="0" w:color="auto"/>
            <w:right w:val="none" w:sz="0" w:space="0" w:color="auto"/>
          </w:divBdr>
        </w:div>
        <w:div w:id="449667611">
          <w:marLeft w:val="0"/>
          <w:marRight w:val="0"/>
          <w:marTop w:val="0"/>
          <w:marBottom w:val="0"/>
          <w:divBdr>
            <w:top w:val="none" w:sz="0" w:space="0" w:color="auto"/>
            <w:left w:val="none" w:sz="0" w:space="0" w:color="auto"/>
            <w:bottom w:val="none" w:sz="0" w:space="0" w:color="auto"/>
            <w:right w:val="none" w:sz="0" w:space="0" w:color="auto"/>
          </w:divBdr>
        </w:div>
        <w:div w:id="196546544">
          <w:marLeft w:val="0"/>
          <w:marRight w:val="0"/>
          <w:marTop w:val="0"/>
          <w:marBottom w:val="0"/>
          <w:divBdr>
            <w:top w:val="none" w:sz="0" w:space="0" w:color="auto"/>
            <w:left w:val="none" w:sz="0" w:space="0" w:color="auto"/>
            <w:bottom w:val="none" w:sz="0" w:space="0" w:color="auto"/>
            <w:right w:val="none" w:sz="0" w:space="0" w:color="auto"/>
          </w:divBdr>
        </w:div>
        <w:div w:id="2077623699">
          <w:marLeft w:val="0"/>
          <w:marRight w:val="0"/>
          <w:marTop w:val="0"/>
          <w:marBottom w:val="0"/>
          <w:divBdr>
            <w:top w:val="none" w:sz="0" w:space="0" w:color="auto"/>
            <w:left w:val="none" w:sz="0" w:space="0" w:color="auto"/>
            <w:bottom w:val="none" w:sz="0" w:space="0" w:color="auto"/>
            <w:right w:val="none" w:sz="0" w:space="0" w:color="auto"/>
          </w:divBdr>
        </w:div>
        <w:div w:id="1065689120">
          <w:marLeft w:val="0"/>
          <w:marRight w:val="0"/>
          <w:marTop w:val="0"/>
          <w:marBottom w:val="0"/>
          <w:divBdr>
            <w:top w:val="none" w:sz="0" w:space="0" w:color="auto"/>
            <w:left w:val="none" w:sz="0" w:space="0" w:color="auto"/>
            <w:bottom w:val="none" w:sz="0" w:space="0" w:color="auto"/>
            <w:right w:val="none" w:sz="0" w:space="0" w:color="auto"/>
          </w:divBdr>
        </w:div>
        <w:div w:id="1637182059">
          <w:marLeft w:val="0"/>
          <w:marRight w:val="0"/>
          <w:marTop w:val="0"/>
          <w:marBottom w:val="0"/>
          <w:divBdr>
            <w:top w:val="none" w:sz="0" w:space="0" w:color="auto"/>
            <w:left w:val="none" w:sz="0" w:space="0" w:color="auto"/>
            <w:bottom w:val="none" w:sz="0" w:space="0" w:color="auto"/>
            <w:right w:val="none" w:sz="0" w:space="0" w:color="auto"/>
          </w:divBdr>
        </w:div>
      </w:divsChild>
    </w:div>
    <w:div w:id="1057627271">
      <w:bodyDiv w:val="1"/>
      <w:marLeft w:val="0"/>
      <w:marRight w:val="0"/>
      <w:marTop w:val="0"/>
      <w:marBottom w:val="0"/>
      <w:divBdr>
        <w:top w:val="none" w:sz="0" w:space="0" w:color="auto"/>
        <w:left w:val="none" w:sz="0" w:space="0" w:color="auto"/>
        <w:bottom w:val="none" w:sz="0" w:space="0" w:color="auto"/>
        <w:right w:val="none" w:sz="0" w:space="0" w:color="auto"/>
      </w:divBdr>
      <w:divsChild>
        <w:div w:id="2121948602">
          <w:marLeft w:val="0"/>
          <w:marRight w:val="0"/>
          <w:marTop w:val="0"/>
          <w:marBottom w:val="0"/>
          <w:divBdr>
            <w:top w:val="none" w:sz="0" w:space="0" w:color="auto"/>
            <w:left w:val="none" w:sz="0" w:space="0" w:color="auto"/>
            <w:bottom w:val="none" w:sz="0" w:space="0" w:color="auto"/>
            <w:right w:val="none" w:sz="0" w:space="0" w:color="auto"/>
          </w:divBdr>
          <w:divsChild>
            <w:div w:id="1969582368">
              <w:marLeft w:val="0"/>
              <w:marRight w:val="0"/>
              <w:marTop w:val="0"/>
              <w:marBottom w:val="0"/>
              <w:divBdr>
                <w:top w:val="none" w:sz="0" w:space="0" w:color="auto"/>
                <w:left w:val="none" w:sz="0" w:space="0" w:color="auto"/>
                <w:bottom w:val="none" w:sz="0" w:space="0" w:color="auto"/>
                <w:right w:val="none" w:sz="0" w:space="0" w:color="auto"/>
              </w:divBdr>
              <w:divsChild>
                <w:div w:id="397478312">
                  <w:marLeft w:val="0"/>
                  <w:marRight w:val="0"/>
                  <w:marTop w:val="0"/>
                  <w:marBottom w:val="0"/>
                  <w:divBdr>
                    <w:top w:val="none" w:sz="0" w:space="0" w:color="auto"/>
                    <w:left w:val="none" w:sz="0" w:space="0" w:color="auto"/>
                    <w:bottom w:val="none" w:sz="0" w:space="0" w:color="auto"/>
                    <w:right w:val="none" w:sz="0" w:space="0" w:color="auto"/>
                  </w:divBdr>
                  <w:divsChild>
                    <w:div w:id="1971739428">
                      <w:marLeft w:val="0"/>
                      <w:marRight w:val="0"/>
                      <w:marTop w:val="0"/>
                      <w:marBottom w:val="0"/>
                      <w:divBdr>
                        <w:top w:val="none" w:sz="0" w:space="0" w:color="auto"/>
                        <w:left w:val="none" w:sz="0" w:space="0" w:color="auto"/>
                        <w:bottom w:val="none" w:sz="0" w:space="0" w:color="auto"/>
                        <w:right w:val="none" w:sz="0" w:space="0" w:color="auto"/>
                      </w:divBdr>
                      <w:divsChild>
                        <w:div w:id="652949424">
                          <w:marLeft w:val="0"/>
                          <w:marRight w:val="0"/>
                          <w:marTop w:val="0"/>
                          <w:marBottom w:val="0"/>
                          <w:divBdr>
                            <w:top w:val="none" w:sz="0" w:space="0" w:color="auto"/>
                            <w:left w:val="none" w:sz="0" w:space="0" w:color="auto"/>
                            <w:bottom w:val="none" w:sz="0" w:space="0" w:color="auto"/>
                            <w:right w:val="none" w:sz="0" w:space="0" w:color="auto"/>
                          </w:divBdr>
                          <w:divsChild>
                            <w:div w:id="438988031">
                              <w:marLeft w:val="0"/>
                              <w:marRight w:val="0"/>
                              <w:marTop w:val="0"/>
                              <w:marBottom w:val="0"/>
                              <w:divBdr>
                                <w:top w:val="none" w:sz="0" w:space="0" w:color="auto"/>
                                <w:left w:val="none" w:sz="0" w:space="0" w:color="auto"/>
                                <w:bottom w:val="none" w:sz="0" w:space="0" w:color="auto"/>
                                <w:right w:val="none" w:sz="0" w:space="0" w:color="auto"/>
                              </w:divBdr>
                              <w:divsChild>
                                <w:div w:id="1280067880">
                                  <w:marLeft w:val="0"/>
                                  <w:marRight w:val="0"/>
                                  <w:marTop w:val="0"/>
                                  <w:marBottom w:val="0"/>
                                  <w:divBdr>
                                    <w:top w:val="none" w:sz="0" w:space="0" w:color="auto"/>
                                    <w:left w:val="none" w:sz="0" w:space="0" w:color="auto"/>
                                    <w:bottom w:val="none" w:sz="0" w:space="0" w:color="auto"/>
                                    <w:right w:val="none" w:sz="0" w:space="0" w:color="auto"/>
                                  </w:divBdr>
                                  <w:divsChild>
                                    <w:div w:id="7484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822234976">
      <w:bodyDiv w:val="1"/>
      <w:marLeft w:val="0"/>
      <w:marRight w:val="0"/>
      <w:marTop w:val="0"/>
      <w:marBottom w:val="0"/>
      <w:divBdr>
        <w:top w:val="none" w:sz="0" w:space="0" w:color="auto"/>
        <w:left w:val="none" w:sz="0" w:space="0" w:color="auto"/>
        <w:bottom w:val="none" w:sz="0" w:space="0" w:color="auto"/>
        <w:right w:val="none" w:sz="0" w:space="0" w:color="auto"/>
      </w:divBdr>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 w:id="2032871592">
      <w:bodyDiv w:val="1"/>
      <w:marLeft w:val="0"/>
      <w:marRight w:val="0"/>
      <w:marTop w:val="0"/>
      <w:marBottom w:val="0"/>
      <w:divBdr>
        <w:top w:val="none" w:sz="0" w:space="0" w:color="auto"/>
        <w:left w:val="none" w:sz="0" w:space="0" w:color="auto"/>
        <w:bottom w:val="none" w:sz="0" w:space="0" w:color="auto"/>
        <w:right w:val="none" w:sz="0" w:space="0" w:color="auto"/>
      </w:divBdr>
      <w:divsChild>
        <w:div w:id="542253766">
          <w:marLeft w:val="0"/>
          <w:marRight w:val="0"/>
          <w:marTop w:val="0"/>
          <w:marBottom w:val="0"/>
          <w:divBdr>
            <w:top w:val="none" w:sz="0" w:space="0" w:color="auto"/>
            <w:left w:val="none" w:sz="0" w:space="0" w:color="auto"/>
            <w:bottom w:val="none" w:sz="0" w:space="0" w:color="auto"/>
            <w:right w:val="none" w:sz="0" w:space="0" w:color="auto"/>
          </w:divBdr>
          <w:divsChild>
            <w:div w:id="1877813819">
              <w:marLeft w:val="0"/>
              <w:marRight w:val="0"/>
              <w:marTop w:val="0"/>
              <w:marBottom w:val="0"/>
              <w:divBdr>
                <w:top w:val="none" w:sz="0" w:space="0" w:color="auto"/>
                <w:left w:val="none" w:sz="0" w:space="0" w:color="auto"/>
                <w:bottom w:val="none" w:sz="0" w:space="0" w:color="auto"/>
                <w:right w:val="none" w:sz="0" w:space="0" w:color="auto"/>
              </w:divBdr>
              <w:divsChild>
                <w:div w:id="884563967">
                  <w:marLeft w:val="0"/>
                  <w:marRight w:val="0"/>
                  <w:marTop w:val="0"/>
                  <w:marBottom w:val="0"/>
                  <w:divBdr>
                    <w:top w:val="none" w:sz="0" w:space="0" w:color="auto"/>
                    <w:left w:val="none" w:sz="0" w:space="0" w:color="auto"/>
                    <w:bottom w:val="none" w:sz="0" w:space="0" w:color="auto"/>
                    <w:right w:val="none" w:sz="0" w:space="0" w:color="auto"/>
                  </w:divBdr>
                  <w:divsChild>
                    <w:div w:id="1899701425">
                      <w:marLeft w:val="0"/>
                      <w:marRight w:val="0"/>
                      <w:marTop w:val="0"/>
                      <w:marBottom w:val="0"/>
                      <w:divBdr>
                        <w:top w:val="none" w:sz="0" w:space="0" w:color="auto"/>
                        <w:left w:val="none" w:sz="0" w:space="0" w:color="auto"/>
                        <w:bottom w:val="none" w:sz="0" w:space="0" w:color="auto"/>
                        <w:right w:val="none" w:sz="0" w:space="0" w:color="auto"/>
                      </w:divBdr>
                      <w:divsChild>
                        <w:div w:id="1769540899">
                          <w:marLeft w:val="0"/>
                          <w:marRight w:val="0"/>
                          <w:marTop w:val="0"/>
                          <w:marBottom w:val="0"/>
                          <w:divBdr>
                            <w:top w:val="none" w:sz="0" w:space="0" w:color="auto"/>
                            <w:left w:val="none" w:sz="0" w:space="0" w:color="auto"/>
                            <w:bottom w:val="none" w:sz="0" w:space="0" w:color="auto"/>
                            <w:right w:val="none" w:sz="0" w:space="0" w:color="auto"/>
                          </w:divBdr>
                          <w:divsChild>
                            <w:div w:id="10688766">
                              <w:marLeft w:val="0"/>
                              <w:marRight w:val="0"/>
                              <w:marTop w:val="0"/>
                              <w:marBottom w:val="0"/>
                              <w:divBdr>
                                <w:top w:val="none" w:sz="0" w:space="0" w:color="auto"/>
                                <w:left w:val="none" w:sz="0" w:space="0" w:color="auto"/>
                                <w:bottom w:val="none" w:sz="0" w:space="0" w:color="auto"/>
                                <w:right w:val="none" w:sz="0" w:space="0" w:color="auto"/>
                              </w:divBdr>
                              <w:divsChild>
                                <w:div w:id="7295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2768">
          <w:marLeft w:val="0"/>
          <w:marRight w:val="0"/>
          <w:marTop w:val="0"/>
          <w:marBottom w:val="0"/>
          <w:divBdr>
            <w:top w:val="none" w:sz="0" w:space="0" w:color="auto"/>
            <w:left w:val="none" w:sz="0" w:space="0" w:color="auto"/>
            <w:bottom w:val="none" w:sz="0" w:space="0" w:color="auto"/>
            <w:right w:val="none" w:sz="0" w:space="0" w:color="auto"/>
          </w:divBdr>
          <w:divsChild>
            <w:div w:id="1329095409">
              <w:marLeft w:val="0"/>
              <w:marRight w:val="0"/>
              <w:marTop w:val="0"/>
              <w:marBottom w:val="0"/>
              <w:divBdr>
                <w:top w:val="none" w:sz="0" w:space="0" w:color="auto"/>
                <w:left w:val="none" w:sz="0" w:space="0" w:color="auto"/>
                <w:bottom w:val="none" w:sz="0" w:space="0" w:color="auto"/>
                <w:right w:val="none" w:sz="0" w:space="0" w:color="auto"/>
              </w:divBdr>
              <w:divsChild>
                <w:div w:id="1228343989">
                  <w:marLeft w:val="0"/>
                  <w:marRight w:val="0"/>
                  <w:marTop w:val="0"/>
                  <w:marBottom w:val="0"/>
                  <w:divBdr>
                    <w:top w:val="none" w:sz="0" w:space="0" w:color="auto"/>
                    <w:left w:val="none" w:sz="0" w:space="0" w:color="auto"/>
                    <w:bottom w:val="none" w:sz="0" w:space="0" w:color="auto"/>
                    <w:right w:val="none" w:sz="0" w:space="0" w:color="auto"/>
                  </w:divBdr>
                  <w:divsChild>
                    <w:div w:id="1014070813">
                      <w:marLeft w:val="0"/>
                      <w:marRight w:val="0"/>
                      <w:marTop w:val="0"/>
                      <w:marBottom w:val="0"/>
                      <w:divBdr>
                        <w:top w:val="none" w:sz="0" w:space="0" w:color="auto"/>
                        <w:left w:val="none" w:sz="0" w:space="0" w:color="auto"/>
                        <w:bottom w:val="none" w:sz="0" w:space="0" w:color="auto"/>
                        <w:right w:val="none" w:sz="0" w:space="0" w:color="auto"/>
                      </w:divBdr>
                      <w:divsChild>
                        <w:div w:id="24137945">
                          <w:marLeft w:val="0"/>
                          <w:marRight w:val="0"/>
                          <w:marTop w:val="0"/>
                          <w:marBottom w:val="0"/>
                          <w:divBdr>
                            <w:top w:val="none" w:sz="0" w:space="0" w:color="auto"/>
                            <w:left w:val="none" w:sz="0" w:space="0" w:color="auto"/>
                            <w:bottom w:val="none" w:sz="0" w:space="0" w:color="auto"/>
                            <w:right w:val="none" w:sz="0" w:space="0" w:color="auto"/>
                          </w:divBdr>
                          <w:divsChild>
                            <w:div w:id="1763868030">
                              <w:marLeft w:val="0"/>
                              <w:marRight w:val="0"/>
                              <w:marTop w:val="0"/>
                              <w:marBottom w:val="0"/>
                              <w:divBdr>
                                <w:top w:val="none" w:sz="0" w:space="0" w:color="auto"/>
                                <w:left w:val="none" w:sz="0" w:space="0" w:color="auto"/>
                                <w:bottom w:val="none" w:sz="0" w:space="0" w:color="auto"/>
                                <w:right w:val="none" w:sz="0" w:space="0" w:color="auto"/>
                              </w:divBdr>
                              <w:divsChild>
                                <w:div w:id="1377775292">
                                  <w:marLeft w:val="0"/>
                                  <w:marRight w:val="0"/>
                                  <w:marTop w:val="0"/>
                                  <w:marBottom w:val="0"/>
                                  <w:divBdr>
                                    <w:top w:val="none" w:sz="0" w:space="0" w:color="auto"/>
                                    <w:left w:val="none" w:sz="0" w:space="0" w:color="auto"/>
                                    <w:bottom w:val="none" w:sz="0" w:space="0" w:color="auto"/>
                                    <w:right w:val="none" w:sz="0" w:space="0" w:color="auto"/>
                                  </w:divBdr>
                                  <w:divsChild>
                                    <w:div w:id="1375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113255">
          <w:marLeft w:val="0"/>
          <w:marRight w:val="0"/>
          <w:marTop w:val="0"/>
          <w:marBottom w:val="0"/>
          <w:divBdr>
            <w:top w:val="none" w:sz="0" w:space="0" w:color="auto"/>
            <w:left w:val="none" w:sz="0" w:space="0" w:color="auto"/>
            <w:bottom w:val="none" w:sz="0" w:space="0" w:color="auto"/>
            <w:right w:val="none" w:sz="0" w:space="0" w:color="auto"/>
          </w:divBdr>
          <w:divsChild>
            <w:div w:id="1128623465">
              <w:marLeft w:val="0"/>
              <w:marRight w:val="0"/>
              <w:marTop w:val="0"/>
              <w:marBottom w:val="0"/>
              <w:divBdr>
                <w:top w:val="none" w:sz="0" w:space="0" w:color="auto"/>
                <w:left w:val="none" w:sz="0" w:space="0" w:color="auto"/>
                <w:bottom w:val="none" w:sz="0" w:space="0" w:color="auto"/>
                <w:right w:val="none" w:sz="0" w:space="0" w:color="auto"/>
              </w:divBdr>
              <w:divsChild>
                <w:div w:id="219944770">
                  <w:marLeft w:val="0"/>
                  <w:marRight w:val="0"/>
                  <w:marTop w:val="0"/>
                  <w:marBottom w:val="0"/>
                  <w:divBdr>
                    <w:top w:val="none" w:sz="0" w:space="0" w:color="auto"/>
                    <w:left w:val="none" w:sz="0" w:space="0" w:color="auto"/>
                    <w:bottom w:val="none" w:sz="0" w:space="0" w:color="auto"/>
                    <w:right w:val="none" w:sz="0" w:space="0" w:color="auto"/>
                  </w:divBdr>
                  <w:divsChild>
                    <w:div w:id="1791774936">
                      <w:marLeft w:val="0"/>
                      <w:marRight w:val="0"/>
                      <w:marTop w:val="0"/>
                      <w:marBottom w:val="0"/>
                      <w:divBdr>
                        <w:top w:val="none" w:sz="0" w:space="0" w:color="auto"/>
                        <w:left w:val="none" w:sz="0" w:space="0" w:color="auto"/>
                        <w:bottom w:val="none" w:sz="0" w:space="0" w:color="auto"/>
                        <w:right w:val="none" w:sz="0" w:space="0" w:color="auto"/>
                      </w:divBdr>
                      <w:divsChild>
                        <w:div w:id="1055272562">
                          <w:marLeft w:val="0"/>
                          <w:marRight w:val="0"/>
                          <w:marTop w:val="0"/>
                          <w:marBottom w:val="0"/>
                          <w:divBdr>
                            <w:top w:val="none" w:sz="0" w:space="0" w:color="auto"/>
                            <w:left w:val="none" w:sz="0" w:space="0" w:color="auto"/>
                            <w:bottom w:val="none" w:sz="0" w:space="0" w:color="auto"/>
                            <w:right w:val="none" w:sz="0" w:space="0" w:color="auto"/>
                          </w:divBdr>
                          <w:divsChild>
                            <w:div w:id="297078420">
                              <w:marLeft w:val="0"/>
                              <w:marRight w:val="0"/>
                              <w:marTop w:val="0"/>
                              <w:marBottom w:val="0"/>
                              <w:divBdr>
                                <w:top w:val="none" w:sz="0" w:space="0" w:color="auto"/>
                                <w:left w:val="none" w:sz="0" w:space="0" w:color="auto"/>
                                <w:bottom w:val="none" w:sz="0" w:space="0" w:color="auto"/>
                                <w:right w:val="none" w:sz="0" w:space="0" w:color="auto"/>
                              </w:divBdr>
                              <w:divsChild>
                                <w:div w:id="1358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8A1C-33D6-41B3-8F7E-F2884635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 Thế</dc:creator>
  <cp:keywords/>
  <dc:description/>
  <cp:lastModifiedBy>NEW</cp:lastModifiedBy>
  <cp:revision>2</cp:revision>
  <dcterms:created xsi:type="dcterms:W3CDTF">2026-05-28T01:11:00Z</dcterms:created>
  <dcterms:modified xsi:type="dcterms:W3CDTF">2026-05-28T01:11:00Z</dcterms:modified>
</cp:coreProperties>
</file>